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0034D" w14:textId="77777777" w:rsidR="00B959A0" w:rsidRDefault="00B959A0" w:rsidP="0026781D">
      <w:pPr>
        <w:pStyle w:val="Default"/>
        <w:spacing w:before="100" w:beforeAutospacing="1" w:after="100" w:afterAutospacing="1" w:line="23" w:lineRule="atLeast"/>
        <w:rPr>
          <w:color w:val="auto"/>
        </w:rPr>
      </w:pPr>
    </w:p>
    <w:tbl>
      <w:tblPr>
        <w:tblStyle w:val="Saretaduntaula"/>
        <w:tblW w:w="0" w:type="auto"/>
        <w:tblLook w:val="04A0" w:firstRow="1" w:lastRow="0" w:firstColumn="1" w:lastColumn="0" w:noHBand="0" w:noVBand="1"/>
      </w:tblPr>
      <w:tblGrid>
        <w:gridCol w:w="8494"/>
      </w:tblGrid>
      <w:tr w:rsidR="006654B7" w14:paraId="55539335" w14:textId="77777777" w:rsidTr="000D68BA">
        <w:tc>
          <w:tcPr>
            <w:tcW w:w="8644" w:type="dxa"/>
            <w:shd w:val="clear" w:color="auto" w:fill="DAEEF3" w:themeFill="accent5" w:themeFillTint="33"/>
          </w:tcPr>
          <w:p w14:paraId="28CB8441" w14:textId="77777777" w:rsidR="006654B7" w:rsidRPr="000D68BA" w:rsidRDefault="006654B7" w:rsidP="0026781D">
            <w:pPr>
              <w:pStyle w:val="Default"/>
              <w:spacing w:before="100" w:beforeAutospacing="1" w:after="100" w:afterAutospacing="1" w:line="23" w:lineRule="atLeast"/>
              <w:rPr>
                <w:b/>
                <w:color w:val="auto"/>
              </w:rPr>
            </w:pPr>
          </w:p>
          <w:p w14:paraId="229D7F04" w14:textId="59FBB6A9" w:rsidR="006654B7" w:rsidRPr="000D68BA" w:rsidRDefault="006654B7" w:rsidP="0026781D">
            <w:pPr>
              <w:spacing w:before="100" w:beforeAutospacing="1" w:after="100" w:afterAutospacing="1" w:line="23" w:lineRule="atLeast"/>
              <w:jc w:val="center"/>
              <w:rPr>
                <w:rFonts w:ascii="Arial" w:hAnsi="Arial" w:cs="Arial"/>
                <w:b/>
              </w:rPr>
            </w:pPr>
            <w:r w:rsidRPr="000D68BA">
              <w:rPr>
                <w:rFonts w:ascii="Arial" w:hAnsi="Arial" w:cs="Arial"/>
                <w:b/>
              </w:rPr>
              <w:t xml:space="preserve">CONSULTA PÚBLICA PREVIA A LA ELABORACIÓN DEL PROYECTO DE DECRETO </w:t>
            </w:r>
            <w:r w:rsidR="000909B6">
              <w:rPr>
                <w:rFonts w:ascii="Arial" w:hAnsi="Arial" w:cs="Arial"/>
                <w:b/>
              </w:rPr>
              <w:t xml:space="preserve">POR EL QUE SE REGULAN </w:t>
            </w:r>
            <w:r w:rsidR="004F079B">
              <w:rPr>
                <w:rFonts w:ascii="Arial" w:hAnsi="Arial" w:cs="Arial"/>
                <w:b/>
              </w:rPr>
              <w:t>LAS AYUDAS A PROGRAMAS DE COOPERACI</w:t>
            </w:r>
            <w:r w:rsidR="00941016">
              <w:rPr>
                <w:rFonts w:ascii="Arial" w:hAnsi="Arial" w:cs="Arial"/>
                <w:b/>
              </w:rPr>
              <w:t>Ó</w:t>
            </w:r>
            <w:r w:rsidR="004F079B">
              <w:rPr>
                <w:rFonts w:ascii="Arial" w:hAnsi="Arial" w:cs="Arial"/>
                <w:b/>
              </w:rPr>
              <w:t>N PAR EL DESARROLLO</w:t>
            </w:r>
          </w:p>
          <w:p w14:paraId="215F051B" w14:textId="77777777" w:rsidR="006654B7" w:rsidRDefault="006654B7" w:rsidP="0026781D">
            <w:pPr>
              <w:pStyle w:val="Default"/>
              <w:spacing w:before="100" w:beforeAutospacing="1" w:after="100" w:afterAutospacing="1" w:line="23" w:lineRule="atLeast"/>
              <w:rPr>
                <w:color w:val="auto"/>
              </w:rPr>
            </w:pPr>
          </w:p>
        </w:tc>
      </w:tr>
    </w:tbl>
    <w:p w14:paraId="70BB5FB0" w14:textId="1B61B210" w:rsidR="00237C97" w:rsidRPr="00D968BA" w:rsidRDefault="00F109C3" w:rsidP="0026781D">
      <w:pPr>
        <w:pStyle w:val="Default"/>
        <w:spacing w:before="100" w:beforeAutospacing="1" w:after="100" w:afterAutospacing="1" w:line="23" w:lineRule="atLeast"/>
        <w:jc w:val="both"/>
        <w:rPr>
          <w:rFonts w:ascii="Arial" w:eastAsia="Times New Roman" w:hAnsi="Arial" w:cs="Arial"/>
          <w:color w:val="auto"/>
          <w:sz w:val="20"/>
          <w:szCs w:val="20"/>
        </w:rPr>
      </w:pPr>
      <w:r w:rsidRPr="00D968BA">
        <w:rPr>
          <w:rFonts w:ascii="Arial" w:eastAsia="Times New Roman" w:hAnsi="Arial" w:cs="Arial"/>
          <w:color w:val="auto"/>
          <w:sz w:val="20"/>
          <w:szCs w:val="20"/>
        </w:rPr>
        <w:t>En cumplimiento de lo previsto por</w:t>
      </w:r>
      <w:r w:rsidR="006779F4" w:rsidRPr="00D968BA">
        <w:rPr>
          <w:rFonts w:ascii="Arial" w:eastAsia="Times New Roman" w:hAnsi="Arial" w:cs="Arial"/>
          <w:color w:val="auto"/>
          <w:sz w:val="20"/>
          <w:szCs w:val="20"/>
        </w:rPr>
        <w:t xml:space="preserve"> el artículo 133</w:t>
      </w:r>
      <w:r w:rsidR="00842276">
        <w:rPr>
          <w:rFonts w:ascii="Arial" w:eastAsia="Times New Roman" w:hAnsi="Arial" w:cs="Arial"/>
          <w:color w:val="auto"/>
          <w:sz w:val="20"/>
          <w:szCs w:val="20"/>
        </w:rPr>
        <w:t>.1 de la L</w:t>
      </w:r>
      <w:r w:rsidR="006779F4" w:rsidRPr="00D968BA">
        <w:rPr>
          <w:rFonts w:ascii="Arial" w:eastAsia="Times New Roman" w:hAnsi="Arial" w:cs="Arial"/>
          <w:color w:val="auto"/>
          <w:sz w:val="20"/>
          <w:szCs w:val="20"/>
        </w:rPr>
        <w:t xml:space="preserve">ey 39/2015 de 1 de octubre, del </w:t>
      </w:r>
      <w:r w:rsidR="00826CA1" w:rsidRPr="00D968BA">
        <w:rPr>
          <w:rFonts w:ascii="Arial" w:eastAsia="Times New Roman" w:hAnsi="Arial" w:cs="Arial"/>
          <w:color w:val="auto"/>
          <w:sz w:val="20"/>
          <w:szCs w:val="20"/>
        </w:rPr>
        <w:t xml:space="preserve">Procedimiento Administrativo Común de las Administraciones Públicas, </w:t>
      </w:r>
      <w:r w:rsidR="006779F4" w:rsidRPr="00D968BA">
        <w:rPr>
          <w:rFonts w:ascii="Arial" w:eastAsia="Times New Roman" w:hAnsi="Arial" w:cs="Arial"/>
          <w:color w:val="auto"/>
          <w:sz w:val="20"/>
          <w:szCs w:val="20"/>
        </w:rPr>
        <w:t>esta consulta previa tiene por objeto re</w:t>
      </w:r>
      <w:r w:rsidR="00757FF2" w:rsidRPr="00D968BA">
        <w:rPr>
          <w:rFonts w:ascii="Arial" w:eastAsia="Times New Roman" w:hAnsi="Arial" w:cs="Arial"/>
          <w:color w:val="auto"/>
          <w:sz w:val="20"/>
          <w:szCs w:val="20"/>
        </w:rPr>
        <w:t>cabar la opinión de las personas</w:t>
      </w:r>
      <w:r w:rsidRPr="00D968BA">
        <w:rPr>
          <w:rFonts w:ascii="Arial" w:eastAsia="Times New Roman" w:hAnsi="Arial" w:cs="Arial"/>
          <w:color w:val="auto"/>
          <w:sz w:val="20"/>
          <w:szCs w:val="20"/>
        </w:rPr>
        <w:t xml:space="preserve"> </w:t>
      </w:r>
      <w:r w:rsidR="006779F4" w:rsidRPr="00D968BA">
        <w:rPr>
          <w:rFonts w:ascii="Arial" w:eastAsia="Times New Roman" w:hAnsi="Arial" w:cs="Arial"/>
          <w:color w:val="auto"/>
          <w:sz w:val="20"/>
          <w:szCs w:val="20"/>
        </w:rPr>
        <w:t>y</w:t>
      </w:r>
      <w:r w:rsidRPr="00D968BA">
        <w:rPr>
          <w:rFonts w:ascii="Arial" w:eastAsia="Times New Roman" w:hAnsi="Arial" w:cs="Arial"/>
          <w:color w:val="auto"/>
          <w:sz w:val="20"/>
          <w:szCs w:val="20"/>
        </w:rPr>
        <w:t xml:space="preserve"> </w:t>
      </w:r>
      <w:r w:rsidR="00757FF2" w:rsidRPr="00D968BA">
        <w:rPr>
          <w:rFonts w:ascii="Arial" w:eastAsia="Times New Roman" w:hAnsi="Arial" w:cs="Arial"/>
          <w:color w:val="auto"/>
          <w:sz w:val="20"/>
          <w:szCs w:val="20"/>
        </w:rPr>
        <w:t>de las</w:t>
      </w:r>
      <w:r w:rsidR="006779F4" w:rsidRPr="00D968BA">
        <w:rPr>
          <w:rFonts w:ascii="Arial" w:eastAsia="Times New Roman" w:hAnsi="Arial" w:cs="Arial"/>
          <w:color w:val="auto"/>
          <w:sz w:val="20"/>
          <w:szCs w:val="20"/>
        </w:rPr>
        <w:t xml:space="preserve"> organizaciones más representativas </w:t>
      </w:r>
      <w:r w:rsidR="00DA3495" w:rsidRPr="00D968BA">
        <w:rPr>
          <w:rFonts w:ascii="Arial" w:eastAsia="Times New Roman" w:hAnsi="Arial" w:cs="Arial"/>
          <w:color w:val="auto"/>
          <w:sz w:val="20"/>
          <w:szCs w:val="20"/>
        </w:rPr>
        <w:t>potencialmente</w:t>
      </w:r>
      <w:r w:rsidRPr="00D968BA">
        <w:rPr>
          <w:rFonts w:ascii="Arial" w:eastAsia="Times New Roman" w:hAnsi="Arial" w:cs="Arial"/>
          <w:color w:val="auto"/>
          <w:sz w:val="20"/>
          <w:szCs w:val="20"/>
        </w:rPr>
        <w:t xml:space="preserve"> </w:t>
      </w:r>
      <w:r w:rsidR="006779F4" w:rsidRPr="00D968BA">
        <w:rPr>
          <w:rFonts w:ascii="Arial" w:eastAsia="Times New Roman" w:hAnsi="Arial" w:cs="Arial"/>
          <w:color w:val="auto"/>
          <w:sz w:val="20"/>
          <w:szCs w:val="20"/>
        </w:rPr>
        <w:t>afectadas por la futura norma</w:t>
      </w:r>
      <w:r w:rsidR="001B226C" w:rsidRPr="00D968BA">
        <w:rPr>
          <w:rFonts w:ascii="Arial" w:eastAsia="Times New Roman" w:hAnsi="Arial" w:cs="Arial"/>
          <w:color w:val="auto"/>
          <w:sz w:val="20"/>
          <w:szCs w:val="20"/>
        </w:rPr>
        <w:t>,</w:t>
      </w:r>
      <w:r w:rsidR="006779F4" w:rsidRPr="00D968BA">
        <w:rPr>
          <w:rFonts w:ascii="Arial" w:eastAsia="Times New Roman" w:hAnsi="Arial" w:cs="Arial"/>
          <w:color w:val="auto"/>
          <w:sz w:val="20"/>
          <w:szCs w:val="20"/>
        </w:rPr>
        <w:t xml:space="preserve"> acerca de: </w:t>
      </w:r>
    </w:p>
    <w:p w14:paraId="5F52CE3C" w14:textId="77777777" w:rsidR="006779F4" w:rsidRPr="00D968BA" w:rsidRDefault="006779F4" w:rsidP="0026781D">
      <w:pPr>
        <w:pStyle w:val="Default"/>
        <w:spacing w:before="100" w:beforeAutospacing="1" w:after="100" w:afterAutospacing="1" w:line="23" w:lineRule="atLeast"/>
        <w:ind w:left="709"/>
        <w:rPr>
          <w:rFonts w:ascii="Arial" w:eastAsia="Times New Roman" w:hAnsi="Arial" w:cs="Arial"/>
          <w:color w:val="auto"/>
          <w:sz w:val="20"/>
          <w:szCs w:val="20"/>
        </w:rPr>
      </w:pPr>
      <w:r w:rsidRPr="00D968BA">
        <w:rPr>
          <w:rFonts w:ascii="Arial" w:eastAsia="Times New Roman" w:hAnsi="Arial" w:cs="Arial"/>
          <w:color w:val="auto"/>
          <w:sz w:val="20"/>
          <w:szCs w:val="20"/>
        </w:rPr>
        <w:t xml:space="preserve">• Los problemas que se pretenden solucionar con la iniciativa </w:t>
      </w:r>
    </w:p>
    <w:p w14:paraId="06BEB1D6" w14:textId="77777777" w:rsidR="006779F4" w:rsidRPr="00D968BA" w:rsidRDefault="006779F4" w:rsidP="0026781D">
      <w:pPr>
        <w:pStyle w:val="Default"/>
        <w:spacing w:before="100" w:beforeAutospacing="1" w:after="100" w:afterAutospacing="1" w:line="23" w:lineRule="atLeast"/>
        <w:ind w:left="709"/>
        <w:rPr>
          <w:rFonts w:ascii="Arial" w:eastAsia="Times New Roman" w:hAnsi="Arial" w:cs="Arial"/>
          <w:color w:val="auto"/>
          <w:sz w:val="20"/>
          <w:szCs w:val="20"/>
        </w:rPr>
      </w:pPr>
      <w:r w:rsidRPr="00D968BA">
        <w:rPr>
          <w:rFonts w:ascii="Arial" w:eastAsia="Times New Roman" w:hAnsi="Arial" w:cs="Arial"/>
          <w:color w:val="auto"/>
          <w:sz w:val="20"/>
          <w:szCs w:val="20"/>
        </w:rPr>
        <w:t xml:space="preserve">• La necesidad y oportunidad de su aprobación </w:t>
      </w:r>
    </w:p>
    <w:p w14:paraId="5CB910A5" w14:textId="77777777" w:rsidR="006779F4" w:rsidRPr="00D968BA" w:rsidRDefault="00DA72A6" w:rsidP="0026781D">
      <w:pPr>
        <w:pStyle w:val="Default"/>
        <w:spacing w:before="100" w:beforeAutospacing="1" w:after="100" w:afterAutospacing="1" w:line="23" w:lineRule="atLeast"/>
        <w:ind w:left="709"/>
        <w:rPr>
          <w:rFonts w:ascii="Arial" w:eastAsia="Times New Roman" w:hAnsi="Arial" w:cs="Arial"/>
          <w:color w:val="auto"/>
          <w:sz w:val="20"/>
          <w:szCs w:val="20"/>
        </w:rPr>
      </w:pPr>
      <w:r w:rsidRPr="00D968BA">
        <w:rPr>
          <w:rFonts w:ascii="Arial" w:eastAsia="Times New Roman" w:hAnsi="Arial" w:cs="Arial"/>
          <w:color w:val="auto"/>
          <w:sz w:val="20"/>
          <w:szCs w:val="20"/>
        </w:rPr>
        <w:t>• El objetivo</w:t>
      </w:r>
      <w:r w:rsidR="006779F4" w:rsidRPr="00D968BA">
        <w:rPr>
          <w:rFonts w:ascii="Arial" w:eastAsia="Times New Roman" w:hAnsi="Arial" w:cs="Arial"/>
          <w:color w:val="auto"/>
          <w:sz w:val="20"/>
          <w:szCs w:val="20"/>
        </w:rPr>
        <w:t xml:space="preserve"> de la norma </w:t>
      </w:r>
    </w:p>
    <w:p w14:paraId="42C062BB" w14:textId="77777777" w:rsidR="006779F4" w:rsidRPr="00D968BA" w:rsidRDefault="006779F4" w:rsidP="0026781D">
      <w:pPr>
        <w:pStyle w:val="Default"/>
        <w:spacing w:before="100" w:beforeAutospacing="1" w:after="100" w:afterAutospacing="1" w:line="23" w:lineRule="atLeast"/>
        <w:ind w:left="709"/>
        <w:rPr>
          <w:rFonts w:ascii="Arial" w:eastAsia="Times New Roman" w:hAnsi="Arial" w:cs="Arial"/>
          <w:color w:val="auto"/>
          <w:sz w:val="20"/>
          <w:szCs w:val="20"/>
        </w:rPr>
      </w:pPr>
      <w:r w:rsidRPr="00D968BA">
        <w:rPr>
          <w:rFonts w:ascii="Arial" w:eastAsia="Times New Roman" w:hAnsi="Arial" w:cs="Arial"/>
          <w:color w:val="auto"/>
          <w:sz w:val="20"/>
          <w:szCs w:val="20"/>
        </w:rPr>
        <w:t xml:space="preserve">• Las posibles soluciones alternativas regulatorias y no regulatorias </w:t>
      </w:r>
    </w:p>
    <w:p w14:paraId="650C8156" w14:textId="2B305D8B" w:rsidR="00842276" w:rsidRDefault="00842276" w:rsidP="0026781D">
      <w:pPr>
        <w:pStyle w:val="Default"/>
        <w:spacing w:before="100" w:beforeAutospacing="1" w:after="100" w:afterAutospacing="1" w:line="23" w:lineRule="atLeast"/>
        <w:jc w:val="both"/>
        <w:rPr>
          <w:rFonts w:ascii="Arial" w:eastAsia="Times New Roman" w:hAnsi="Arial" w:cs="Arial"/>
          <w:color w:val="auto"/>
          <w:sz w:val="20"/>
          <w:szCs w:val="20"/>
        </w:rPr>
      </w:pPr>
    </w:p>
    <w:tbl>
      <w:tblPr>
        <w:tblStyle w:val="Saretaduntaula"/>
        <w:tblW w:w="0" w:type="auto"/>
        <w:tblInd w:w="-5" w:type="dxa"/>
        <w:tblLook w:val="04A0" w:firstRow="1" w:lastRow="0" w:firstColumn="1" w:lastColumn="0" w:noHBand="0" w:noVBand="1"/>
      </w:tblPr>
      <w:tblGrid>
        <w:gridCol w:w="1843"/>
        <w:gridCol w:w="6656"/>
      </w:tblGrid>
      <w:tr w:rsidR="006654B7" w14:paraId="47BF75D0" w14:textId="77777777" w:rsidTr="0026781D">
        <w:tc>
          <w:tcPr>
            <w:tcW w:w="1843" w:type="dxa"/>
            <w:shd w:val="clear" w:color="auto" w:fill="DAEEF3" w:themeFill="accent5" w:themeFillTint="33"/>
          </w:tcPr>
          <w:p w14:paraId="1AEBC270" w14:textId="77777777" w:rsidR="006654B7" w:rsidRPr="006654B7" w:rsidRDefault="006654B7" w:rsidP="0026781D">
            <w:pPr>
              <w:pStyle w:val="Default"/>
              <w:spacing w:before="100" w:beforeAutospacing="1" w:after="100" w:afterAutospacing="1" w:line="23" w:lineRule="atLeast"/>
              <w:rPr>
                <w:rFonts w:ascii="Arial" w:eastAsia="Times New Roman" w:hAnsi="Arial" w:cs="Arial"/>
                <w:b/>
                <w:color w:val="auto"/>
                <w:sz w:val="22"/>
                <w:szCs w:val="22"/>
              </w:rPr>
            </w:pPr>
            <w:r w:rsidRPr="006654B7">
              <w:rPr>
                <w:rFonts w:ascii="Arial" w:eastAsia="Times New Roman" w:hAnsi="Arial" w:cs="Arial"/>
                <w:b/>
                <w:color w:val="auto"/>
                <w:sz w:val="22"/>
                <w:szCs w:val="22"/>
              </w:rPr>
              <w:t>Antecedentes de la norma</w:t>
            </w:r>
          </w:p>
        </w:tc>
        <w:tc>
          <w:tcPr>
            <w:tcW w:w="6656" w:type="dxa"/>
            <w:shd w:val="clear" w:color="auto" w:fill="D6E3BC" w:themeFill="accent3" w:themeFillTint="66"/>
          </w:tcPr>
          <w:p w14:paraId="1E86B96F" w14:textId="570C1530" w:rsidR="006654B7" w:rsidRPr="00AB01E1" w:rsidRDefault="005F172F" w:rsidP="0026781D">
            <w:pPr>
              <w:pStyle w:val="Default"/>
              <w:spacing w:before="100" w:beforeAutospacing="1" w:after="100" w:afterAutospacing="1" w:line="23" w:lineRule="atLeast"/>
              <w:jc w:val="both"/>
              <w:rPr>
                <w:rFonts w:ascii="Arial" w:eastAsia="Times New Roman" w:hAnsi="Arial" w:cs="Arial"/>
                <w:color w:val="auto"/>
                <w:sz w:val="18"/>
                <w:szCs w:val="18"/>
              </w:rPr>
            </w:pPr>
            <w:r w:rsidRPr="00AB01E1">
              <w:rPr>
                <w:rFonts w:ascii="Arial" w:eastAsia="Times New Roman" w:hAnsi="Arial" w:cs="Arial"/>
                <w:color w:val="auto"/>
                <w:sz w:val="18"/>
                <w:szCs w:val="18"/>
              </w:rPr>
              <w:t xml:space="preserve">Decreto </w:t>
            </w:r>
            <w:r w:rsidR="004F079B" w:rsidRPr="00AB01E1">
              <w:rPr>
                <w:rFonts w:ascii="Arial" w:eastAsia="Times New Roman" w:hAnsi="Arial" w:cs="Arial"/>
                <w:color w:val="auto"/>
                <w:sz w:val="18"/>
                <w:szCs w:val="18"/>
              </w:rPr>
              <w:t xml:space="preserve">57/2007, de 3 de abril, </w:t>
            </w:r>
            <w:r w:rsidR="00855AD0" w:rsidRPr="00AB01E1">
              <w:rPr>
                <w:rFonts w:ascii="Arial" w:eastAsia="Times New Roman" w:hAnsi="Arial" w:cs="Arial"/>
                <w:color w:val="auto"/>
                <w:sz w:val="18"/>
                <w:szCs w:val="18"/>
              </w:rPr>
              <w:t>por el que se regulan ayudas a programas con cargo al Fondo de Cooperación al Desarrollo.</w:t>
            </w:r>
          </w:p>
          <w:p w14:paraId="51AFB530" w14:textId="4064FE5D" w:rsidR="007334EC" w:rsidRPr="00AB01E1" w:rsidRDefault="007334EC" w:rsidP="0026781D">
            <w:pPr>
              <w:pStyle w:val="Default"/>
              <w:spacing w:before="100" w:beforeAutospacing="1" w:after="100" w:afterAutospacing="1" w:line="23" w:lineRule="atLeast"/>
              <w:jc w:val="both"/>
              <w:rPr>
                <w:rFonts w:ascii="Arial" w:eastAsia="Times New Roman" w:hAnsi="Arial" w:cs="Arial"/>
                <w:color w:val="auto"/>
                <w:sz w:val="18"/>
                <w:szCs w:val="18"/>
              </w:rPr>
            </w:pPr>
            <w:r w:rsidRPr="00AB01E1">
              <w:rPr>
                <w:rFonts w:ascii="Arial" w:eastAsia="Times New Roman" w:hAnsi="Arial" w:cs="Arial"/>
                <w:color w:val="auto"/>
                <w:sz w:val="18"/>
                <w:szCs w:val="18"/>
              </w:rPr>
              <w:t xml:space="preserve">En el año 2007, la Dirección de Cooperación al Desarrollo del Gobierno Vasco, </w:t>
            </w:r>
            <w:r w:rsidR="00E35CE2" w:rsidRPr="00AB01E1">
              <w:rPr>
                <w:rFonts w:ascii="Arial" w:eastAsia="Times New Roman" w:hAnsi="Arial" w:cs="Arial"/>
                <w:color w:val="auto"/>
                <w:sz w:val="18"/>
                <w:szCs w:val="18"/>
              </w:rPr>
              <w:t>antecedente de la Agencia Vasca de Cooperación al Desarrollo,</w:t>
            </w:r>
            <w:r w:rsidR="00D928C5" w:rsidRPr="00AB01E1">
              <w:rPr>
                <w:rFonts w:ascii="Arial" w:eastAsia="Times New Roman" w:hAnsi="Arial" w:cs="Arial"/>
                <w:color w:val="auto"/>
                <w:sz w:val="18"/>
                <w:szCs w:val="18"/>
              </w:rPr>
              <w:t xml:space="preserve"> puso en marcha </w:t>
            </w:r>
            <w:r w:rsidR="003E4076" w:rsidRPr="00AB01E1">
              <w:rPr>
                <w:rFonts w:ascii="Arial" w:eastAsia="Times New Roman" w:hAnsi="Arial" w:cs="Arial"/>
                <w:color w:val="auto"/>
                <w:sz w:val="18"/>
                <w:szCs w:val="18"/>
              </w:rPr>
              <w:t>un</w:t>
            </w:r>
            <w:r w:rsidR="004049AF" w:rsidRPr="00AB01E1">
              <w:rPr>
                <w:rFonts w:ascii="Arial" w:eastAsia="Times New Roman" w:hAnsi="Arial" w:cs="Arial"/>
                <w:color w:val="auto"/>
                <w:sz w:val="18"/>
                <w:szCs w:val="18"/>
              </w:rPr>
              <w:t xml:space="preserve"> nuevo instrument</w:t>
            </w:r>
            <w:r w:rsidR="00AA1AB7">
              <w:rPr>
                <w:rFonts w:ascii="Arial" w:eastAsia="Times New Roman" w:hAnsi="Arial" w:cs="Arial"/>
                <w:color w:val="auto"/>
                <w:sz w:val="18"/>
                <w:szCs w:val="18"/>
              </w:rPr>
              <w:t>o de cooperación: los programas.</w:t>
            </w:r>
            <w:r w:rsidR="004049AF" w:rsidRPr="00AB01E1">
              <w:rPr>
                <w:rFonts w:ascii="Arial" w:eastAsia="Times New Roman" w:hAnsi="Arial" w:cs="Arial"/>
                <w:color w:val="auto"/>
                <w:sz w:val="18"/>
                <w:szCs w:val="18"/>
              </w:rPr>
              <w:t xml:space="preserve"> Dicha </w:t>
            </w:r>
            <w:r w:rsidR="003E4076" w:rsidRPr="00AB01E1">
              <w:rPr>
                <w:rFonts w:ascii="Arial" w:eastAsia="Times New Roman" w:hAnsi="Arial" w:cs="Arial"/>
                <w:color w:val="auto"/>
                <w:sz w:val="18"/>
                <w:szCs w:val="18"/>
              </w:rPr>
              <w:t xml:space="preserve">herramienta, </w:t>
            </w:r>
            <w:r w:rsidR="004049AF" w:rsidRPr="00AB01E1">
              <w:rPr>
                <w:rFonts w:ascii="Arial" w:eastAsia="Times New Roman" w:hAnsi="Arial" w:cs="Arial"/>
                <w:color w:val="auto"/>
                <w:sz w:val="18"/>
                <w:szCs w:val="18"/>
              </w:rPr>
              <w:t>fue regulada por el mencionado Decreto regulador de ayudas a programas con cargo al Fondo de C</w:t>
            </w:r>
            <w:r w:rsidR="003E4076" w:rsidRPr="00AB01E1">
              <w:rPr>
                <w:rFonts w:ascii="Arial" w:eastAsia="Times New Roman" w:hAnsi="Arial" w:cs="Arial"/>
                <w:color w:val="auto"/>
                <w:sz w:val="18"/>
                <w:szCs w:val="18"/>
              </w:rPr>
              <w:t xml:space="preserve">ooperación </w:t>
            </w:r>
            <w:r w:rsidR="00D763A7" w:rsidRPr="00AB01E1">
              <w:rPr>
                <w:rFonts w:ascii="Arial" w:eastAsia="Times New Roman" w:hAnsi="Arial" w:cs="Arial"/>
                <w:color w:val="auto"/>
                <w:sz w:val="18"/>
                <w:szCs w:val="18"/>
              </w:rPr>
              <w:t>para e</w:t>
            </w:r>
            <w:r w:rsidR="003E4076" w:rsidRPr="00AB01E1">
              <w:rPr>
                <w:rFonts w:ascii="Arial" w:eastAsia="Times New Roman" w:hAnsi="Arial" w:cs="Arial"/>
                <w:color w:val="auto"/>
                <w:sz w:val="18"/>
                <w:szCs w:val="18"/>
              </w:rPr>
              <w:t xml:space="preserve">l </w:t>
            </w:r>
            <w:r w:rsidR="004049AF" w:rsidRPr="00AB01E1">
              <w:rPr>
                <w:rFonts w:ascii="Arial" w:eastAsia="Times New Roman" w:hAnsi="Arial" w:cs="Arial"/>
                <w:color w:val="auto"/>
                <w:sz w:val="18"/>
                <w:szCs w:val="18"/>
              </w:rPr>
              <w:t>D</w:t>
            </w:r>
            <w:r w:rsidR="003E4076" w:rsidRPr="00AB01E1">
              <w:rPr>
                <w:rFonts w:ascii="Arial" w:eastAsia="Times New Roman" w:hAnsi="Arial" w:cs="Arial"/>
                <w:color w:val="auto"/>
                <w:sz w:val="18"/>
                <w:szCs w:val="18"/>
              </w:rPr>
              <w:t>esarrollo.</w:t>
            </w:r>
            <w:r w:rsidR="00AA1AB7">
              <w:t xml:space="preserve"> </w:t>
            </w:r>
            <w:r w:rsidR="00AA1AB7" w:rsidRPr="00AA1AB7">
              <w:rPr>
                <w:rFonts w:ascii="Arial" w:eastAsia="Times New Roman" w:hAnsi="Arial" w:cs="Arial"/>
                <w:color w:val="auto"/>
                <w:sz w:val="18"/>
                <w:szCs w:val="18"/>
              </w:rPr>
              <w:t>Los programas se convocaron anualmente hasta el año 2015, con la excepción del año 2013, por la reducción de fondos disponibles derivados de la crisis económica.</w:t>
            </w:r>
          </w:p>
          <w:p w14:paraId="3F8A13E0" w14:textId="77777777" w:rsidR="000C4D19" w:rsidRPr="00AB01E1" w:rsidRDefault="009A02B5" w:rsidP="0026781D">
            <w:pPr>
              <w:pStyle w:val="Default"/>
              <w:spacing w:before="100" w:beforeAutospacing="1" w:after="100" w:afterAutospacing="1" w:line="23" w:lineRule="atLeast"/>
              <w:jc w:val="both"/>
              <w:rPr>
                <w:rFonts w:ascii="Arial" w:eastAsia="Times New Roman" w:hAnsi="Arial" w:cs="Arial"/>
                <w:color w:val="auto"/>
                <w:sz w:val="18"/>
                <w:szCs w:val="18"/>
              </w:rPr>
            </w:pPr>
            <w:r w:rsidRPr="00AB01E1">
              <w:rPr>
                <w:rFonts w:ascii="Arial" w:eastAsia="Times New Roman" w:hAnsi="Arial" w:cs="Arial"/>
                <w:color w:val="auto"/>
                <w:sz w:val="18"/>
                <w:szCs w:val="18"/>
              </w:rPr>
              <w:t>Desde la dotación de la Agencia Vasca de Cooperación para el Desarrollo de personal permanente en el año 2012, y a través de la experiencia adquirida en el acompañamiento de los programas subvencionados en las diferentes convocatorias, se fue constatando que el sistema de gestión del instrumento adolecía de debilidades significativas, que incidían negativamente, tanto en la calidad de las propuestas financiadas, como en su acompañamiento. Asimismo, existía la percepción de que los programas subvencionados no estaban cumpliendo las expectativas previstas en el Decreto, en la medida en que, a pesar de generar impactos positivos, no estaban incorporando de manera suficiente aquellos elementos distintivos que se les atribuían respecto a otras herramientas de la Agencia Vasca de Cooperación para el Desarrollo.</w:t>
            </w:r>
          </w:p>
          <w:p w14:paraId="4697D104" w14:textId="77777777" w:rsidR="009A02B5" w:rsidRPr="00AB01E1" w:rsidRDefault="009A02B5" w:rsidP="0026781D">
            <w:pPr>
              <w:pStyle w:val="Default"/>
              <w:spacing w:before="100" w:beforeAutospacing="1" w:after="100" w:afterAutospacing="1" w:line="23" w:lineRule="atLeast"/>
              <w:jc w:val="both"/>
              <w:rPr>
                <w:rStyle w:val="EstiloCambria"/>
                <w:rFonts w:ascii="Arial" w:hAnsi="Arial" w:cs="Arial"/>
                <w:sz w:val="18"/>
                <w:szCs w:val="18"/>
              </w:rPr>
            </w:pPr>
            <w:r w:rsidRPr="00AB01E1">
              <w:rPr>
                <w:rStyle w:val="EstiloCambria"/>
                <w:rFonts w:ascii="Arial" w:hAnsi="Arial" w:cs="Arial"/>
                <w:sz w:val="18"/>
                <w:szCs w:val="18"/>
              </w:rPr>
              <w:t>Durante los años 2016 y 2017 se llevó a cabo una evaluación interna del instrumento de programas, en sus tres vertientes: enfoque, modelo de gestión y requisitos de acceso. En dicho proceso ha comprendido espacios amplios de análisis y debate con agentes sociales e institucionales, en los que han participado más de 34 organizaciones y varias instituciones públicas de ámbito vasco.</w:t>
            </w:r>
          </w:p>
          <w:p w14:paraId="484BFE42" w14:textId="4CE53F92" w:rsidR="009A02B5" w:rsidRPr="00AB01E1" w:rsidRDefault="009A02B5" w:rsidP="0026781D">
            <w:pPr>
              <w:pStyle w:val="Default"/>
              <w:spacing w:before="100" w:beforeAutospacing="1" w:after="100" w:afterAutospacing="1" w:line="23" w:lineRule="atLeast"/>
              <w:jc w:val="both"/>
              <w:rPr>
                <w:rStyle w:val="EstiloCambria"/>
                <w:rFonts w:ascii="Arial" w:hAnsi="Arial" w:cs="Arial"/>
                <w:sz w:val="18"/>
                <w:szCs w:val="18"/>
              </w:rPr>
            </w:pPr>
            <w:r w:rsidRPr="00AB01E1">
              <w:rPr>
                <w:rStyle w:val="EstiloCambria"/>
                <w:rFonts w:ascii="Arial" w:hAnsi="Arial" w:cs="Arial"/>
                <w:sz w:val="18"/>
                <w:szCs w:val="18"/>
              </w:rPr>
              <w:t xml:space="preserve">Se ha realizado un estudiado no solo del conjunto de iniciativas subvencionadas desde el año 2011, sino que, también, se ha analizado la normativa de otras </w:t>
            </w:r>
            <w:r w:rsidRPr="00AB01E1">
              <w:rPr>
                <w:rStyle w:val="EstiloCambria"/>
                <w:rFonts w:ascii="Arial" w:hAnsi="Arial" w:cs="Arial"/>
                <w:sz w:val="18"/>
                <w:szCs w:val="18"/>
              </w:rPr>
              <w:lastRenderedPageBreak/>
              <w:t>instituciones públicas que regulan herramientas que tienen ciertas similitudes con los programas.</w:t>
            </w:r>
          </w:p>
          <w:p w14:paraId="73040B64" w14:textId="77777777" w:rsidR="00D5793F" w:rsidRDefault="009A02B5" w:rsidP="0026781D">
            <w:pPr>
              <w:pStyle w:val="Default"/>
              <w:spacing w:before="100" w:beforeAutospacing="1" w:after="100" w:afterAutospacing="1" w:line="23" w:lineRule="atLeast"/>
              <w:jc w:val="both"/>
              <w:rPr>
                <w:rStyle w:val="EstiloCambria"/>
                <w:rFonts w:ascii="Arial" w:hAnsi="Arial" w:cs="Arial"/>
                <w:sz w:val="18"/>
                <w:szCs w:val="18"/>
              </w:rPr>
            </w:pPr>
            <w:r w:rsidRPr="00AB01E1">
              <w:rPr>
                <w:rStyle w:val="EstiloCambria"/>
                <w:rFonts w:ascii="Arial" w:hAnsi="Arial" w:cs="Arial"/>
                <w:sz w:val="18"/>
                <w:szCs w:val="18"/>
              </w:rPr>
              <w:t>Las conclusiones del proceso de evaluación llevado a cabo y propuesta de cambios fueron finalmente presentadas de manera pública, el 19 de diciembre de 2017, en una sesión que contó con la presencia de 29 organizaciones vinculadas a la cooperación para el desarrollo.</w:t>
            </w:r>
          </w:p>
          <w:p w14:paraId="618F0BAA" w14:textId="4C40F501" w:rsidR="0026781D" w:rsidRPr="00AB01E1" w:rsidRDefault="0026781D" w:rsidP="0026781D">
            <w:pPr>
              <w:pStyle w:val="Default"/>
              <w:spacing w:before="100" w:beforeAutospacing="1" w:after="100" w:afterAutospacing="1" w:line="23" w:lineRule="atLeast"/>
              <w:jc w:val="both"/>
              <w:rPr>
                <w:rFonts w:ascii="Arial" w:eastAsia="Times New Roman" w:hAnsi="Arial" w:cs="Arial"/>
                <w:color w:val="auto"/>
                <w:sz w:val="18"/>
                <w:szCs w:val="18"/>
              </w:rPr>
            </w:pPr>
          </w:p>
        </w:tc>
      </w:tr>
      <w:tr w:rsidR="006654B7" w14:paraId="03A79FE5" w14:textId="77777777" w:rsidTr="0026781D">
        <w:tc>
          <w:tcPr>
            <w:tcW w:w="1843" w:type="dxa"/>
            <w:shd w:val="clear" w:color="auto" w:fill="DAEEF3" w:themeFill="accent5" w:themeFillTint="33"/>
          </w:tcPr>
          <w:p w14:paraId="17178C79" w14:textId="77777777" w:rsidR="006654B7" w:rsidRPr="006654B7" w:rsidRDefault="006654B7" w:rsidP="0026781D">
            <w:pPr>
              <w:pStyle w:val="Default"/>
              <w:spacing w:before="100" w:beforeAutospacing="1" w:after="100" w:afterAutospacing="1" w:line="23" w:lineRule="atLeast"/>
              <w:rPr>
                <w:rFonts w:ascii="Arial" w:eastAsia="Times New Roman" w:hAnsi="Arial" w:cs="Arial"/>
                <w:b/>
                <w:color w:val="auto"/>
                <w:sz w:val="22"/>
                <w:szCs w:val="22"/>
              </w:rPr>
            </w:pPr>
            <w:r w:rsidRPr="006654B7">
              <w:rPr>
                <w:rFonts w:ascii="Arial" w:eastAsia="Times New Roman" w:hAnsi="Arial" w:cs="Arial"/>
                <w:b/>
                <w:color w:val="auto"/>
                <w:sz w:val="22"/>
                <w:szCs w:val="22"/>
              </w:rPr>
              <w:lastRenderedPageBreak/>
              <w:t>Problemas que se pretenden solucionar</w:t>
            </w:r>
          </w:p>
        </w:tc>
        <w:tc>
          <w:tcPr>
            <w:tcW w:w="6656" w:type="dxa"/>
            <w:shd w:val="clear" w:color="auto" w:fill="D6E3BC" w:themeFill="accent3" w:themeFillTint="66"/>
          </w:tcPr>
          <w:p w14:paraId="3694DC66" w14:textId="5965A9D7" w:rsidR="00A36EC7" w:rsidRDefault="007D4228" w:rsidP="0026781D">
            <w:pPr>
              <w:pStyle w:val="Default"/>
              <w:spacing w:before="100" w:beforeAutospacing="1" w:after="100" w:afterAutospacing="1" w:line="23" w:lineRule="atLeast"/>
              <w:jc w:val="both"/>
              <w:rPr>
                <w:rFonts w:ascii="Arial" w:eastAsia="Times New Roman" w:hAnsi="Arial" w:cs="Arial"/>
                <w:color w:val="auto"/>
                <w:sz w:val="18"/>
                <w:szCs w:val="18"/>
              </w:rPr>
            </w:pPr>
            <w:r w:rsidRPr="00AB01E1">
              <w:rPr>
                <w:rFonts w:ascii="Arial" w:eastAsia="Times New Roman" w:hAnsi="Arial" w:cs="Arial"/>
                <w:color w:val="auto"/>
                <w:sz w:val="18"/>
                <w:szCs w:val="18"/>
              </w:rPr>
              <w:t xml:space="preserve">Con la </w:t>
            </w:r>
            <w:r w:rsidR="00351A1E" w:rsidRPr="00AB01E1">
              <w:rPr>
                <w:rFonts w:ascii="Arial" w:eastAsia="Times New Roman" w:hAnsi="Arial" w:cs="Arial"/>
                <w:color w:val="auto"/>
                <w:sz w:val="18"/>
                <w:szCs w:val="18"/>
              </w:rPr>
              <w:t>aprob</w:t>
            </w:r>
            <w:r w:rsidRPr="00AB01E1">
              <w:rPr>
                <w:rFonts w:ascii="Arial" w:eastAsia="Times New Roman" w:hAnsi="Arial" w:cs="Arial"/>
                <w:color w:val="auto"/>
                <w:sz w:val="18"/>
                <w:szCs w:val="18"/>
              </w:rPr>
              <w:t>ación de</w:t>
            </w:r>
            <w:r w:rsidR="00351A1E" w:rsidRPr="00AB01E1">
              <w:rPr>
                <w:rFonts w:ascii="Arial" w:eastAsia="Times New Roman" w:hAnsi="Arial" w:cs="Arial"/>
                <w:color w:val="auto"/>
                <w:sz w:val="18"/>
                <w:szCs w:val="18"/>
              </w:rPr>
              <w:t xml:space="preserve"> un nuevo</w:t>
            </w:r>
            <w:r w:rsidRPr="00AB01E1">
              <w:rPr>
                <w:rFonts w:ascii="Arial" w:eastAsia="Times New Roman" w:hAnsi="Arial" w:cs="Arial"/>
                <w:color w:val="auto"/>
                <w:sz w:val="18"/>
                <w:szCs w:val="18"/>
              </w:rPr>
              <w:t xml:space="preserve"> Decreto se pretende</w:t>
            </w:r>
            <w:r w:rsidR="00A36EC7">
              <w:rPr>
                <w:rFonts w:ascii="Arial" w:eastAsia="Times New Roman" w:hAnsi="Arial" w:cs="Arial"/>
                <w:color w:val="auto"/>
                <w:sz w:val="18"/>
                <w:szCs w:val="18"/>
              </w:rPr>
              <w:t>:</w:t>
            </w:r>
          </w:p>
          <w:p w14:paraId="01791DFF" w14:textId="77777777" w:rsidR="00A36EC7" w:rsidRDefault="009A02B5" w:rsidP="0026781D">
            <w:pPr>
              <w:pStyle w:val="Default"/>
              <w:numPr>
                <w:ilvl w:val="0"/>
                <w:numId w:val="4"/>
              </w:numPr>
              <w:spacing w:before="100" w:beforeAutospacing="1" w:after="100" w:afterAutospacing="1" w:line="23" w:lineRule="atLeast"/>
              <w:jc w:val="both"/>
              <w:rPr>
                <w:rFonts w:ascii="Arial" w:eastAsia="Times New Roman" w:hAnsi="Arial" w:cs="Arial"/>
                <w:color w:val="auto"/>
                <w:sz w:val="18"/>
                <w:szCs w:val="18"/>
              </w:rPr>
            </w:pPr>
            <w:r w:rsidRPr="00A36EC7">
              <w:rPr>
                <w:rFonts w:ascii="Arial" w:eastAsia="Times New Roman" w:hAnsi="Arial" w:cs="Arial"/>
                <w:color w:val="auto"/>
                <w:sz w:val="18"/>
                <w:szCs w:val="18"/>
              </w:rPr>
              <w:t xml:space="preserve">la integración de los elementos diferenciales de la herramienta en las iniciativas impulsadas, </w:t>
            </w:r>
          </w:p>
          <w:p w14:paraId="6AF5B59B" w14:textId="77777777" w:rsidR="00A36EC7" w:rsidRDefault="00A36EC7" w:rsidP="0026781D">
            <w:pPr>
              <w:pStyle w:val="Default"/>
              <w:numPr>
                <w:ilvl w:val="0"/>
                <w:numId w:val="4"/>
              </w:numPr>
              <w:spacing w:before="100" w:beforeAutospacing="1" w:after="100" w:afterAutospacing="1" w:line="23" w:lineRule="atLeast"/>
              <w:jc w:val="both"/>
              <w:rPr>
                <w:rFonts w:ascii="Arial" w:eastAsia="Times New Roman" w:hAnsi="Arial" w:cs="Arial"/>
                <w:color w:val="auto"/>
                <w:sz w:val="18"/>
                <w:szCs w:val="18"/>
              </w:rPr>
            </w:pPr>
            <w:r w:rsidRPr="00A36EC7">
              <w:rPr>
                <w:rFonts w:ascii="Arial" w:eastAsia="Times New Roman" w:hAnsi="Arial" w:cs="Arial"/>
                <w:color w:val="auto"/>
                <w:sz w:val="18"/>
                <w:szCs w:val="18"/>
              </w:rPr>
              <w:t>separar en dos fases de los programas de cooperación de tal manera que el</w:t>
            </w:r>
            <w:r w:rsidR="009A02B5" w:rsidRPr="00A36EC7">
              <w:rPr>
                <w:rFonts w:ascii="Arial" w:eastAsia="Times New Roman" w:hAnsi="Arial" w:cs="Arial"/>
                <w:color w:val="auto"/>
                <w:sz w:val="18"/>
                <w:szCs w:val="18"/>
              </w:rPr>
              <w:t xml:space="preserve"> sistema de gestión </w:t>
            </w:r>
            <w:r w:rsidRPr="00A36EC7">
              <w:rPr>
                <w:rFonts w:ascii="Arial" w:eastAsia="Times New Roman" w:hAnsi="Arial" w:cs="Arial"/>
                <w:color w:val="auto"/>
                <w:sz w:val="18"/>
                <w:szCs w:val="18"/>
              </w:rPr>
              <w:t xml:space="preserve">no </w:t>
            </w:r>
            <w:r w:rsidR="009A02B5" w:rsidRPr="00A36EC7">
              <w:rPr>
                <w:rFonts w:ascii="Arial" w:eastAsia="Times New Roman" w:hAnsi="Arial" w:cs="Arial"/>
                <w:color w:val="auto"/>
                <w:sz w:val="18"/>
                <w:szCs w:val="18"/>
              </w:rPr>
              <w:t>que redu</w:t>
            </w:r>
            <w:r w:rsidRPr="00A36EC7">
              <w:rPr>
                <w:rFonts w:ascii="Arial" w:eastAsia="Times New Roman" w:hAnsi="Arial" w:cs="Arial"/>
                <w:color w:val="auto"/>
                <w:sz w:val="18"/>
                <w:szCs w:val="18"/>
              </w:rPr>
              <w:t>zca</w:t>
            </w:r>
            <w:r w:rsidR="009A02B5" w:rsidRPr="00A36EC7">
              <w:rPr>
                <w:rFonts w:ascii="Arial" w:eastAsia="Times New Roman" w:hAnsi="Arial" w:cs="Arial"/>
                <w:color w:val="auto"/>
                <w:sz w:val="18"/>
                <w:szCs w:val="18"/>
              </w:rPr>
              <w:t xml:space="preserve"> el periodo de ejecuci</w:t>
            </w:r>
            <w:r w:rsidRPr="00A36EC7">
              <w:rPr>
                <w:rFonts w:ascii="Arial" w:eastAsia="Times New Roman" w:hAnsi="Arial" w:cs="Arial"/>
                <w:color w:val="auto"/>
                <w:sz w:val="18"/>
                <w:szCs w:val="18"/>
              </w:rPr>
              <w:t>ón efectivo de las iniciativas,</w:t>
            </w:r>
          </w:p>
          <w:p w14:paraId="16ADE0C8" w14:textId="35A95871" w:rsidR="00A36EC7" w:rsidRDefault="00A36EC7" w:rsidP="0026781D">
            <w:pPr>
              <w:pStyle w:val="Default"/>
              <w:numPr>
                <w:ilvl w:val="0"/>
                <w:numId w:val="4"/>
              </w:numPr>
              <w:spacing w:before="100" w:beforeAutospacing="1" w:after="100" w:afterAutospacing="1" w:line="23" w:lineRule="atLeast"/>
              <w:jc w:val="both"/>
              <w:rPr>
                <w:rFonts w:ascii="Arial" w:eastAsia="Times New Roman" w:hAnsi="Arial" w:cs="Arial"/>
                <w:color w:val="auto"/>
                <w:sz w:val="18"/>
                <w:szCs w:val="18"/>
              </w:rPr>
            </w:pPr>
            <w:r w:rsidRPr="00A36EC7">
              <w:rPr>
                <w:rFonts w:ascii="Arial" w:eastAsia="Times New Roman" w:hAnsi="Arial" w:cs="Arial"/>
                <w:color w:val="auto"/>
                <w:sz w:val="18"/>
                <w:szCs w:val="18"/>
              </w:rPr>
              <w:t>aumentar la flexibilidad en la herramienta</w:t>
            </w:r>
            <w:r w:rsidR="00FE2565">
              <w:rPr>
                <w:rFonts w:ascii="Arial" w:eastAsia="Times New Roman" w:hAnsi="Arial" w:cs="Arial"/>
                <w:color w:val="auto"/>
                <w:sz w:val="18"/>
                <w:szCs w:val="18"/>
              </w:rPr>
              <w:t>,</w:t>
            </w:r>
            <w:r w:rsidRPr="00A36EC7">
              <w:rPr>
                <w:rFonts w:ascii="Arial" w:eastAsia="Times New Roman" w:hAnsi="Arial" w:cs="Arial"/>
                <w:color w:val="auto"/>
                <w:sz w:val="18"/>
                <w:szCs w:val="18"/>
              </w:rPr>
              <w:t xml:space="preserve"> y</w:t>
            </w:r>
            <w:r w:rsidR="009A02B5" w:rsidRPr="00A36EC7">
              <w:rPr>
                <w:rFonts w:ascii="Arial" w:eastAsia="Times New Roman" w:hAnsi="Arial" w:cs="Arial"/>
                <w:color w:val="auto"/>
                <w:sz w:val="18"/>
                <w:szCs w:val="18"/>
              </w:rPr>
              <w:t xml:space="preserve"> </w:t>
            </w:r>
          </w:p>
          <w:p w14:paraId="7D74C49C" w14:textId="267F344F" w:rsidR="00D5793F" w:rsidRPr="00AB01E1" w:rsidRDefault="009A02B5" w:rsidP="0026781D">
            <w:pPr>
              <w:pStyle w:val="Default"/>
              <w:numPr>
                <w:ilvl w:val="0"/>
                <w:numId w:val="4"/>
              </w:numPr>
              <w:spacing w:before="100" w:beforeAutospacing="1" w:after="100" w:afterAutospacing="1" w:line="23" w:lineRule="atLeast"/>
              <w:jc w:val="both"/>
              <w:rPr>
                <w:rFonts w:ascii="Arial" w:eastAsia="Times New Roman" w:hAnsi="Arial" w:cs="Arial"/>
                <w:color w:val="auto"/>
                <w:sz w:val="18"/>
                <w:szCs w:val="18"/>
              </w:rPr>
            </w:pPr>
            <w:r w:rsidRPr="00AB01E1">
              <w:rPr>
                <w:rFonts w:ascii="Arial" w:eastAsia="Times New Roman" w:hAnsi="Arial" w:cs="Arial"/>
                <w:color w:val="auto"/>
                <w:sz w:val="18"/>
                <w:szCs w:val="18"/>
              </w:rPr>
              <w:t>adecua</w:t>
            </w:r>
            <w:r w:rsidR="00A36EC7">
              <w:rPr>
                <w:rFonts w:ascii="Arial" w:eastAsia="Times New Roman" w:hAnsi="Arial" w:cs="Arial"/>
                <w:color w:val="auto"/>
                <w:sz w:val="18"/>
                <w:szCs w:val="18"/>
              </w:rPr>
              <w:t>r</w:t>
            </w:r>
            <w:r w:rsidRPr="00AB01E1">
              <w:rPr>
                <w:rFonts w:ascii="Arial" w:eastAsia="Times New Roman" w:hAnsi="Arial" w:cs="Arial"/>
                <w:color w:val="auto"/>
                <w:sz w:val="18"/>
                <w:szCs w:val="18"/>
              </w:rPr>
              <w:t xml:space="preserve"> </w:t>
            </w:r>
            <w:r w:rsidR="00D5793F">
              <w:rPr>
                <w:rFonts w:ascii="Arial" w:eastAsia="Times New Roman" w:hAnsi="Arial" w:cs="Arial"/>
                <w:color w:val="auto"/>
                <w:sz w:val="18"/>
                <w:szCs w:val="18"/>
              </w:rPr>
              <w:t>el procedimiento de acreditación previo</w:t>
            </w:r>
            <w:r w:rsidRPr="00AB01E1">
              <w:rPr>
                <w:rFonts w:ascii="Arial" w:eastAsia="Times New Roman" w:hAnsi="Arial" w:cs="Arial"/>
                <w:color w:val="auto"/>
                <w:sz w:val="18"/>
                <w:szCs w:val="18"/>
              </w:rPr>
              <w:t xml:space="preserve"> </w:t>
            </w:r>
            <w:r w:rsidR="00D5793F">
              <w:rPr>
                <w:rFonts w:ascii="Arial" w:eastAsia="Times New Roman" w:hAnsi="Arial" w:cs="Arial"/>
                <w:color w:val="auto"/>
                <w:sz w:val="18"/>
                <w:szCs w:val="18"/>
              </w:rPr>
              <w:t>por un conjunto de requisitos a acreditar en cada convoca</w:t>
            </w:r>
            <w:r w:rsidR="00946020">
              <w:rPr>
                <w:rFonts w:ascii="Arial" w:eastAsia="Times New Roman" w:hAnsi="Arial" w:cs="Arial"/>
                <w:color w:val="auto"/>
                <w:sz w:val="18"/>
                <w:szCs w:val="18"/>
              </w:rPr>
              <w:t>t</w:t>
            </w:r>
            <w:r w:rsidR="00D5793F">
              <w:rPr>
                <w:rFonts w:ascii="Arial" w:eastAsia="Times New Roman" w:hAnsi="Arial" w:cs="Arial"/>
                <w:color w:val="auto"/>
                <w:sz w:val="18"/>
                <w:szCs w:val="18"/>
              </w:rPr>
              <w:t>oria</w:t>
            </w:r>
            <w:r w:rsidR="00946020">
              <w:rPr>
                <w:rFonts w:ascii="Arial" w:eastAsia="Times New Roman" w:hAnsi="Arial" w:cs="Arial"/>
                <w:color w:val="auto"/>
                <w:sz w:val="18"/>
                <w:szCs w:val="18"/>
              </w:rPr>
              <w:t>, adecuándolos, a su vez,</w:t>
            </w:r>
            <w:r w:rsidR="00A36EC7">
              <w:rPr>
                <w:rFonts w:ascii="Arial" w:eastAsia="Times New Roman" w:hAnsi="Arial" w:cs="Arial"/>
                <w:color w:val="auto"/>
                <w:sz w:val="18"/>
                <w:szCs w:val="18"/>
              </w:rPr>
              <w:t xml:space="preserve"> a los fines </w:t>
            </w:r>
            <w:r w:rsidRPr="00AB01E1">
              <w:rPr>
                <w:rFonts w:ascii="Arial" w:eastAsia="Times New Roman" w:hAnsi="Arial" w:cs="Arial"/>
                <w:color w:val="auto"/>
                <w:sz w:val="18"/>
                <w:szCs w:val="18"/>
              </w:rPr>
              <w:t xml:space="preserve">de la </w:t>
            </w:r>
            <w:r w:rsidR="00A36EC7">
              <w:rPr>
                <w:rFonts w:ascii="Arial" w:eastAsia="Times New Roman" w:hAnsi="Arial" w:cs="Arial"/>
                <w:color w:val="auto"/>
                <w:sz w:val="18"/>
                <w:szCs w:val="18"/>
              </w:rPr>
              <w:t xml:space="preserve">propia herramienta </w:t>
            </w:r>
            <w:r w:rsidR="00946020">
              <w:rPr>
                <w:rFonts w:ascii="Arial" w:eastAsia="Times New Roman" w:hAnsi="Arial" w:cs="Arial"/>
                <w:color w:val="auto"/>
                <w:sz w:val="18"/>
                <w:szCs w:val="18"/>
              </w:rPr>
              <w:t xml:space="preserve">alineando </w:t>
            </w:r>
            <w:r w:rsidR="00A36EC7">
              <w:rPr>
                <w:rFonts w:ascii="Arial" w:eastAsia="Times New Roman" w:hAnsi="Arial" w:cs="Arial"/>
                <w:color w:val="auto"/>
                <w:sz w:val="18"/>
                <w:szCs w:val="18"/>
              </w:rPr>
              <w:t>las</w:t>
            </w:r>
            <w:r w:rsidR="00A36EC7" w:rsidRPr="00AB01E1">
              <w:rPr>
                <w:rFonts w:ascii="Arial" w:eastAsia="Times New Roman" w:hAnsi="Arial" w:cs="Arial"/>
                <w:color w:val="auto"/>
                <w:sz w:val="18"/>
                <w:szCs w:val="18"/>
              </w:rPr>
              <w:t xml:space="preserve"> iniciativas con </w:t>
            </w:r>
            <w:r w:rsidR="00A36EC7">
              <w:rPr>
                <w:rFonts w:ascii="Arial" w:eastAsia="Times New Roman" w:hAnsi="Arial" w:cs="Arial"/>
                <w:color w:val="auto"/>
                <w:sz w:val="18"/>
                <w:szCs w:val="18"/>
              </w:rPr>
              <w:t>los elementos diferenciales de la misma</w:t>
            </w:r>
            <w:r w:rsidR="00946020">
              <w:rPr>
                <w:rFonts w:ascii="Arial" w:eastAsia="Times New Roman" w:hAnsi="Arial" w:cs="Arial"/>
                <w:color w:val="auto"/>
                <w:sz w:val="18"/>
                <w:szCs w:val="18"/>
              </w:rPr>
              <w:t>.</w:t>
            </w:r>
          </w:p>
        </w:tc>
      </w:tr>
      <w:tr w:rsidR="006654B7" w14:paraId="010F625E" w14:textId="77777777" w:rsidTr="0026781D">
        <w:tc>
          <w:tcPr>
            <w:tcW w:w="1843" w:type="dxa"/>
            <w:shd w:val="clear" w:color="auto" w:fill="DAEEF3" w:themeFill="accent5" w:themeFillTint="33"/>
          </w:tcPr>
          <w:p w14:paraId="50ADB42F" w14:textId="77777777" w:rsidR="006654B7" w:rsidRPr="006654B7" w:rsidRDefault="006654B7" w:rsidP="0026781D">
            <w:pPr>
              <w:pStyle w:val="Default"/>
              <w:spacing w:before="100" w:beforeAutospacing="1" w:after="100" w:afterAutospacing="1" w:line="23" w:lineRule="atLeast"/>
              <w:rPr>
                <w:rFonts w:ascii="Arial" w:eastAsia="Times New Roman" w:hAnsi="Arial" w:cs="Arial"/>
                <w:b/>
                <w:color w:val="auto"/>
                <w:sz w:val="22"/>
                <w:szCs w:val="22"/>
              </w:rPr>
            </w:pPr>
            <w:r w:rsidRPr="006654B7">
              <w:rPr>
                <w:rFonts w:ascii="Arial" w:eastAsia="Times New Roman" w:hAnsi="Arial" w:cs="Arial"/>
                <w:b/>
                <w:color w:val="auto"/>
                <w:sz w:val="22"/>
                <w:szCs w:val="22"/>
              </w:rPr>
              <w:t>La necesidad y oportunidad de su aprobación</w:t>
            </w:r>
          </w:p>
        </w:tc>
        <w:tc>
          <w:tcPr>
            <w:tcW w:w="6656" w:type="dxa"/>
            <w:shd w:val="clear" w:color="auto" w:fill="D6E3BC" w:themeFill="accent3" w:themeFillTint="66"/>
          </w:tcPr>
          <w:p w14:paraId="703A5851" w14:textId="10A9768E" w:rsidR="006C0B59" w:rsidRPr="00D968BA" w:rsidRDefault="006654B7" w:rsidP="0026781D">
            <w:pPr>
              <w:pStyle w:val="Default"/>
              <w:spacing w:before="100" w:beforeAutospacing="1" w:after="100" w:afterAutospacing="1" w:line="23" w:lineRule="atLeast"/>
              <w:jc w:val="both"/>
              <w:rPr>
                <w:rFonts w:ascii="Arial" w:hAnsi="Arial" w:cs="Arial"/>
                <w:color w:val="auto"/>
                <w:sz w:val="18"/>
                <w:szCs w:val="18"/>
              </w:rPr>
            </w:pPr>
            <w:r w:rsidRPr="00D968BA">
              <w:rPr>
                <w:rFonts w:ascii="Arial" w:eastAsia="Times New Roman" w:hAnsi="Arial" w:cs="Arial"/>
                <w:b/>
                <w:color w:val="auto"/>
                <w:sz w:val="18"/>
                <w:szCs w:val="18"/>
              </w:rPr>
              <w:t>Necesidad</w:t>
            </w:r>
            <w:r w:rsidRPr="00D968BA">
              <w:rPr>
                <w:rFonts w:ascii="Arial" w:hAnsi="Arial" w:cs="Arial"/>
                <w:color w:val="auto"/>
                <w:sz w:val="18"/>
                <w:szCs w:val="18"/>
              </w:rPr>
              <w:t xml:space="preserve">: </w:t>
            </w:r>
            <w:r w:rsidR="006C0B59" w:rsidRPr="00D968BA">
              <w:rPr>
                <w:rFonts w:ascii="Arial" w:hAnsi="Arial" w:cs="Arial"/>
                <w:color w:val="auto"/>
                <w:sz w:val="18"/>
                <w:szCs w:val="18"/>
              </w:rPr>
              <w:t>Desde la primera convocatoria de ayudas</w:t>
            </w:r>
            <w:r w:rsidR="00AA1AB7" w:rsidRPr="00D968BA">
              <w:rPr>
                <w:rFonts w:ascii="Arial" w:hAnsi="Arial" w:cs="Arial"/>
                <w:color w:val="auto"/>
                <w:sz w:val="18"/>
                <w:szCs w:val="18"/>
              </w:rPr>
              <w:t>,</w:t>
            </w:r>
            <w:r w:rsidR="006C0B59" w:rsidRPr="00D968BA">
              <w:rPr>
                <w:rFonts w:ascii="Arial" w:hAnsi="Arial" w:cs="Arial"/>
                <w:color w:val="auto"/>
                <w:sz w:val="18"/>
                <w:szCs w:val="18"/>
              </w:rPr>
              <w:t xml:space="preserve"> en el año 2007</w:t>
            </w:r>
            <w:r w:rsidR="00AA1AB7" w:rsidRPr="00D968BA">
              <w:rPr>
                <w:rFonts w:ascii="Arial" w:hAnsi="Arial" w:cs="Arial"/>
                <w:color w:val="auto"/>
                <w:sz w:val="18"/>
                <w:szCs w:val="18"/>
              </w:rPr>
              <w:t>,</w:t>
            </w:r>
            <w:r w:rsidR="006C0B59" w:rsidRPr="00D968BA">
              <w:rPr>
                <w:rFonts w:ascii="Arial" w:hAnsi="Arial" w:cs="Arial"/>
                <w:color w:val="auto"/>
                <w:sz w:val="18"/>
                <w:szCs w:val="18"/>
              </w:rPr>
              <w:t xml:space="preserve"> hasta la actualidad, se han imp</w:t>
            </w:r>
            <w:r w:rsidR="00AA1AB7" w:rsidRPr="00D968BA">
              <w:rPr>
                <w:rFonts w:ascii="Arial" w:hAnsi="Arial" w:cs="Arial"/>
                <w:color w:val="auto"/>
                <w:sz w:val="18"/>
                <w:szCs w:val="18"/>
              </w:rPr>
              <w:t>ulsado un total de 53 programas</w:t>
            </w:r>
            <w:r w:rsidR="006C0B59" w:rsidRPr="00D968BA">
              <w:rPr>
                <w:rFonts w:ascii="Arial" w:hAnsi="Arial" w:cs="Arial"/>
                <w:color w:val="auto"/>
                <w:sz w:val="18"/>
                <w:szCs w:val="18"/>
              </w:rPr>
              <w:t xml:space="preserve"> con una subvención total concedida de 57.413.144,72</w:t>
            </w:r>
            <w:r w:rsidR="00AA1AB7" w:rsidRPr="00D968BA">
              <w:rPr>
                <w:rFonts w:ascii="Arial" w:hAnsi="Arial" w:cs="Arial"/>
                <w:color w:val="auto"/>
                <w:sz w:val="18"/>
                <w:szCs w:val="18"/>
              </w:rPr>
              <w:t xml:space="preserve"> euros</w:t>
            </w:r>
            <w:r w:rsidR="006C0B59" w:rsidRPr="00D968BA">
              <w:rPr>
                <w:rFonts w:ascii="Arial" w:hAnsi="Arial" w:cs="Arial"/>
                <w:color w:val="auto"/>
                <w:sz w:val="18"/>
                <w:szCs w:val="18"/>
              </w:rPr>
              <w:t>. Durante ese periodo de tiempo, únicamente 15 las entidades resultar</w:t>
            </w:r>
            <w:r w:rsidR="00AA1AB7" w:rsidRPr="00D968BA">
              <w:rPr>
                <w:rFonts w:ascii="Arial" w:hAnsi="Arial" w:cs="Arial"/>
                <w:color w:val="auto"/>
                <w:sz w:val="18"/>
                <w:szCs w:val="18"/>
              </w:rPr>
              <w:t>on</w:t>
            </w:r>
            <w:r w:rsidR="006C0B59" w:rsidRPr="00D968BA">
              <w:rPr>
                <w:rFonts w:ascii="Arial" w:hAnsi="Arial" w:cs="Arial"/>
                <w:color w:val="auto"/>
                <w:sz w:val="18"/>
                <w:szCs w:val="18"/>
              </w:rPr>
              <w:t xml:space="preserve"> acreditadas para concurrir a alguna de las convocatorias de ayudas, de las </w:t>
            </w:r>
            <w:r w:rsidR="00AA1AB7" w:rsidRPr="00D968BA">
              <w:rPr>
                <w:rFonts w:ascii="Arial" w:hAnsi="Arial" w:cs="Arial"/>
                <w:color w:val="auto"/>
                <w:sz w:val="18"/>
                <w:szCs w:val="18"/>
              </w:rPr>
              <w:t>cuales</w:t>
            </w:r>
            <w:r w:rsidR="006C0B59" w:rsidRPr="00D968BA">
              <w:rPr>
                <w:rFonts w:ascii="Arial" w:hAnsi="Arial" w:cs="Arial"/>
                <w:color w:val="auto"/>
                <w:sz w:val="18"/>
                <w:szCs w:val="18"/>
              </w:rPr>
              <w:t xml:space="preserve"> 14 presentaron propuestas y fueron</w:t>
            </w:r>
            <w:r w:rsidR="00AA1AB7" w:rsidRPr="00D968BA">
              <w:rPr>
                <w:rFonts w:ascii="Arial" w:hAnsi="Arial" w:cs="Arial"/>
                <w:color w:val="auto"/>
                <w:sz w:val="18"/>
                <w:szCs w:val="18"/>
              </w:rPr>
              <w:t xml:space="preserve"> beneficiarias de subvenciones. </w:t>
            </w:r>
          </w:p>
          <w:p w14:paraId="46782698" w14:textId="32F950AB" w:rsidR="00B76F88" w:rsidRPr="00D968BA" w:rsidRDefault="00B76F88" w:rsidP="0026781D">
            <w:pPr>
              <w:pStyle w:val="Default"/>
              <w:spacing w:before="100" w:beforeAutospacing="1" w:after="100" w:afterAutospacing="1" w:line="23" w:lineRule="atLeast"/>
              <w:jc w:val="both"/>
              <w:rPr>
                <w:rFonts w:ascii="Arial" w:hAnsi="Arial" w:cs="Arial"/>
                <w:color w:val="auto"/>
                <w:sz w:val="18"/>
                <w:szCs w:val="18"/>
              </w:rPr>
            </w:pPr>
            <w:r w:rsidRPr="00D968BA">
              <w:rPr>
                <w:rFonts w:ascii="Arial" w:hAnsi="Arial" w:cs="Arial"/>
                <w:color w:val="auto"/>
                <w:sz w:val="18"/>
                <w:szCs w:val="18"/>
              </w:rPr>
              <w:t xml:space="preserve">Los programas fueron concebidos para generar transformaciones más profundas que otros instrumentos de cooperación para el desarrollo, pero también que estas fueran más integrales. Por ello, se ha observado la necesidad de dotar a la herramienta de una mayor financiación, de un mayor periodo de ejecución y de una fase de identificación previa a la ejecución, </w:t>
            </w:r>
            <w:r w:rsidR="00632CD2">
              <w:rPr>
                <w:rFonts w:ascii="Arial" w:hAnsi="Arial" w:cs="Arial"/>
                <w:color w:val="auto"/>
                <w:sz w:val="18"/>
                <w:szCs w:val="18"/>
              </w:rPr>
              <w:t>y</w:t>
            </w:r>
            <w:r w:rsidRPr="00D968BA">
              <w:rPr>
                <w:rFonts w:ascii="Arial" w:hAnsi="Arial" w:cs="Arial"/>
                <w:color w:val="auto"/>
                <w:sz w:val="18"/>
                <w:szCs w:val="18"/>
              </w:rPr>
              <w:t xml:space="preserve"> por incorporar también un apartado de Educación para el Desarrollo y la apu</w:t>
            </w:r>
            <w:r w:rsidR="00AA1AB7" w:rsidRPr="00D968BA">
              <w:rPr>
                <w:rFonts w:ascii="Arial" w:hAnsi="Arial" w:cs="Arial"/>
                <w:color w:val="auto"/>
                <w:sz w:val="18"/>
                <w:szCs w:val="18"/>
              </w:rPr>
              <w:t>esta por la acción multinivel.</w:t>
            </w:r>
          </w:p>
          <w:p w14:paraId="0BF61AF8" w14:textId="0AB0F50D" w:rsidR="006C0B59" w:rsidRPr="00D968BA" w:rsidRDefault="00501216" w:rsidP="0026781D">
            <w:pPr>
              <w:pStyle w:val="Default"/>
              <w:spacing w:before="100" w:beforeAutospacing="1" w:after="100" w:afterAutospacing="1" w:line="23" w:lineRule="atLeast"/>
              <w:jc w:val="both"/>
              <w:rPr>
                <w:rFonts w:ascii="Arial" w:hAnsi="Arial" w:cs="Arial"/>
                <w:color w:val="auto"/>
                <w:sz w:val="18"/>
                <w:szCs w:val="18"/>
              </w:rPr>
            </w:pPr>
            <w:r w:rsidRPr="00D968BA">
              <w:rPr>
                <w:rFonts w:ascii="Arial" w:hAnsi="Arial" w:cs="Arial"/>
                <w:color w:val="auto"/>
                <w:sz w:val="18"/>
                <w:szCs w:val="18"/>
              </w:rPr>
              <w:t xml:space="preserve">La experiencia adquirida en el acompañamiento de los programas subvencionados en las diferentes convocatorias ha puesto de manifiesto que, el sistema de gestión de los programas, adolecía de debilidades significativas que incidían negativamente en la calidad de las propuestas financiadas y en su acompañamiento. </w:t>
            </w:r>
            <w:r w:rsidR="00AE6383" w:rsidRPr="00D968BA">
              <w:rPr>
                <w:rFonts w:ascii="Arial" w:hAnsi="Arial" w:cs="Arial"/>
                <w:color w:val="auto"/>
                <w:sz w:val="18"/>
                <w:szCs w:val="18"/>
              </w:rPr>
              <w:t>Asimismo,</w:t>
            </w:r>
            <w:r w:rsidRPr="00D968BA">
              <w:rPr>
                <w:rFonts w:ascii="Arial" w:hAnsi="Arial" w:cs="Arial"/>
                <w:color w:val="auto"/>
                <w:sz w:val="18"/>
                <w:szCs w:val="18"/>
              </w:rPr>
              <w:t xml:space="preserve"> se constató que </w:t>
            </w:r>
            <w:r w:rsidR="00AE6383" w:rsidRPr="00D968BA">
              <w:rPr>
                <w:rFonts w:ascii="Arial" w:hAnsi="Arial" w:cs="Arial"/>
                <w:color w:val="auto"/>
                <w:sz w:val="18"/>
                <w:szCs w:val="18"/>
              </w:rPr>
              <w:t xml:space="preserve">los programas subvencionados, </w:t>
            </w:r>
            <w:r w:rsidRPr="00D968BA">
              <w:rPr>
                <w:rFonts w:ascii="Arial" w:hAnsi="Arial" w:cs="Arial"/>
                <w:color w:val="auto"/>
                <w:sz w:val="18"/>
                <w:szCs w:val="18"/>
              </w:rPr>
              <w:t xml:space="preserve">a pesar de generar impactos positivos, </w:t>
            </w:r>
            <w:r w:rsidR="00AE6383" w:rsidRPr="00D968BA">
              <w:rPr>
                <w:rFonts w:ascii="Arial" w:hAnsi="Arial" w:cs="Arial"/>
                <w:color w:val="auto"/>
                <w:sz w:val="18"/>
                <w:szCs w:val="18"/>
              </w:rPr>
              <w:t xml:space="preserve">integraban de manera insuficiente los </w:t>
            </w:r>
            <w:r w:rsidRPr="00D968BA">
              <w:rPr>
                <w:rFonts w:ascii="Arial" w:hAnsi="Arial" w:cs="Arial"/>
                <w:color w:val="auto"/>
                <w:sz w:val="18"/>
                <w:szCs w:val="18"/>
              </w:rPr>
              <w:t>elementos di</w:t>
            </w:r>
            <w:r w:rsidR="00AE6383" w:rsidRPr="00D968BA">
              <w:rPr>
                <w:rFonts w:ascii="Arial" w:hAnsi="Arial" w:cs="Arial"/>
                <w:color w:val="auto"/>
                <w:sz w:val="18"/>
                <w:szCs w:val="18"/>
              </w:rPr>
              <w:t xml:space="preserve">ferenciales de la herramienta de programas </w:t>
            </w:r>
            <w:r w:rsidRPr="00D968BA">
              <w:rPr>
                <w:rFonts w:ascii="Arial" w:hAnsi="Arial" w:cs="Arial"/>
                <w:color w:val="auto"/>
                <w:sz w:val="18"/>
                <w:szCs w:val="18"/>
              </w:rPr>
              <w:t>respecto a otras herramientas de la Agencia Vasca de Cooperación para el Desarrollo.</w:t>
            </w:r>
            <w:r w:rsidR="00E4378F" w:rsidRPr="00D968BA">
              <w:rPr>
                <w:rFonts w:ascii="Arial" w:hAnsi="Arial" w:cs="Arial"/>
                <w:color w:val="auto"/>
                <w:sz w:val="18"/>
                <w:szCs w:val="18"/>
              </w:rPr>
              <w:t xml:space="preserve"> Se hace necesario incorporar el enfoque global-local como seña de identidad de la herramienta.</w:t>
            </w:r>
          </w:p>
          <w:p w14:paraId="41B59A89" w14:textId="38A2D947" w:rsidR="00115E4A" w:rsidRPr="00D968BA" w:rsidRDefault="00115E4A" w:rsidP="0026781D">
            <w:pPr>
              <w:pStyle w:val="Default"/>
              <w:spacing w:before="100" w:beforeAutospacing="1" w:after="100" w:afterAutospacing="1" w:line="23" w:lineRule="atLeast"/>
              <w:jc w:val="both"/>
              <w:rPr>
                <w:rFonts w:ascii="Arial" w:hAnsi="Arial" w:cs="Arial"/>
                <w:color w:val="auto"/>
                <w:sz w:val="18"/>
                <w:szCs w:val="18"/>
              </w:rPr>
            </w:pPr>
            <w:r w:rsidRPr="00D968BA">
              <w:rPr>
                <w:rFonts w:ascii="Arial" w:hAnsi="Arial" w:cs="Arial"/>
                <w:color w:val="auto"/>
                <w:sz w:val="18"/>
                <w:szCs w:val="18"/>
              </w:rPr>
              <w:t>Otro aspecto necesario es el cambio en el esquema de trabajo entre sujetos intervinientes, estableciendo una lógica vertical de funcionamiento, gestión y transferencia de recursos, y evidenciando un esquema de trabajo que separa claramente el desarrollo de las iniciativas en el Norte y en el Sur. Ell</w:t>
            </w:r>
            <w:r w:rsidR="00100DD6" w:rsidRPr="00D968BA">
              <w:rPr>
                <w:rFonts w:ascii="Arial" w:hAnsi="Arial" w:cs="Arial"/>
                <w:color w:val="auto"/>
                <w:sz w:val="18"/>
                <w:szCs w:val="18"/>
              </w:rPr>
              <w:t>o</w:t>
            </w:r>
            <w:r w:rsidRPr="00D968BA">
              <w:rPr>
                <w:rFonts w:ascii="Arial" w:hAnsi="Arial" w:cs="Arial"/>
                <w:color w:val="auto"/>
                <w:sz w:val="18"/>
                <w:szCs w:val="18"/>
              </w:rPr>
              <w:t xml:space="preserve"> hace necesario establecer un trabajo más articulado y complementario entre organizaciones</w:t>
            </w:r>
            <w:r w:rsidR="00100DD6" w:rsidRPr="00D968BA">
              <w:rPr>
                <w:rFonts w:ascii="Arial" w:hAnsi="Arial" w:cs="Arial"/>
                <w:color w:val="auto"/>
                <w:sz w:val="18"/>
                <w:szCs w:val="18"/>
              </w:rPr>
              <w:t xml:space="preserve"> </w:t>
            </w:r>
            <w:r w:rsidRPr="00D968BA">
              <w:rPr>
                <w:rFonts w:ascii="Arial" w:hAnsi="Arial" w:cs="Arial"/>
                <w:color w:val="auto"/>
                <w:sz w:val="18"/>
                <w:szCs w:val="18"/>
              </w:rPr>
              <w:t>para el abordaje de retos comunes.</w:t>
            </w:r>
            <w:r w:rsidR="00100DD6" w:rsidRPr="00D968BA">
              <w:rPr>
                <w:color w:val="auto"/>
              </w:rPr>
              <w:t xml:space="preserve"> </w:t>
            </w:r>
            <w:r w:rsidR="00100DD6" w:rsidRPr="00D968BA">
              <w:rPr>
                <w:rFonts w:ascii="Arial" w:hAnsi="Arial" w:cs="Arial"/>
                <w:color w:val="auto"/>
                <w:sz w:val="18"/>
                <w:szCs w:val="18"/>
              </w:rPr>
              <w:t>Con ello se prevé que los requisitos exigidos no se establecen en función del origen geográfico de las entidades que participan en la ejecución de la subvención y de si actúan o no al frente de los consorcios existentes, sino que se determinan en base al grado de participación de cada entidad en la gestión y ejecución de la subvención, independientemente de su origen geográfico.</w:t>
            </w:r>
          </w:p>
          <w:p w14:paraId="1EABF9B8" w14:textId="57C5FC44" w:rsidR="00AE6383" w:rsidRPr="00D968BA" w:rsidRDefault="00AE6383" w:rsidP="0026781D">
            <w:pPr>
              <w:pStyle w:val="Default"/>
              <w:spacing w:before="100" w:beforeAutospacing="1" w:after="100" w:afterAutospacing="1" w:line="23" w:lineRule="atLeast"/>
              <w:jc w:val="both"/>
              <w:rPr>
                <w:rFonts w:ascii="Arial" w:hAnsi="Arial" w:cs="Arial"/>
                <w:color w:val="auto"/>
                <w:sz w:val="18"/>
                <w:szCs w:val="18"/>
              </w:rPr>
            </w:pPr>
            <w:r w:rsidRPr="00D968BA">
              <w:rPr>
                <w:rFonts w:ascii="Arial" w:hAnsi="Arial" w:cs="Arial"/>
                <w:color w:val="auto"/>
                <w:sz w:val="18"/>
                <w:szCs w:val="18"/>
              </w:rPr>
              <w:t xml:space="preserve">A ello se le une que el procedimiento de concesión y gestión de las ayudas </w:t>
            </w:r>
            <w:r w:rsidR="00E4378F" w:rsidRPr="00D968BA">
              <w:rPr>
                <w:rFonts w:ascii="Arial" w:hAnsi="Arial" w:cs="Arial"/>
                <w:color w:val="auto"/>
                <w:sz w:val="18"/>
                <w:szCs w:val="18"/>
              </w:rPr>
              <w:t xml:space="preserve">era ineficaz puesto que la concesión de la totalidad de la subvención a los programas se realizaba en un primer momento, tras la valoración de los perfiles presentados, y con carácter previo al desarrollo de la fase de identificación y formulación de las propuestas definitivas. En su virtud, se considera imprescindible diferenciar de </w:t>
            </w:r>
            <w:r w:rsidR="00E4378F" w:rsidRPr="00D968BA">
              <w:rPr>
                <w:rFonts w:ascii="Arial" w:hAnsi="Arial" w:cs="Arial"/>
                <w:color w:val="auto"/>
                <w:sz w:val="18"/>
                <w:szCs w:val="18"/>
              </w:rPr>
              <w:lastRenderedPageBreak/>
              <w:t>manera clara las fases de identificación y las de ejecución, como dos fases subvencionables diferentes, y condicionar la financiación de la fase de ejecución al desarrollo de un proceso de valoración de las propue</w:t>
            </w:r>
            <w:r w:rsidR="00677419">
              <w:rPr>
                <w:rFonts w:ascii="Arial" w:hAnsi="Arial" w:cs="Arial"/>
                <w:color w:val="auto"/>
                <w:sz w:val="18"/>
                <w:szCs w:val="18"/>
              </w:rPr>
              <w:t>stas definitivas de programas.</w:t>
            </w:r>
          </w:p>
          <w:p w14:paraId="088082EF" w14:textId="77777777" w:rsidR="00FE2565" w:rsidRDefault="006654B7" w:rsidP="0026781D">
            <w:pPr>
              <w:spacing w:before="100" w:beforeAutospacing="1" w:after="100" w:afterAutospacing="1" w:line="23" w:lineRule="atLeast"/>
              <w:jc w:val="both"/>
              <w:rPr>
                <w:rFonts w:ascii="Arial" w:eastAsia="Times New Roman" w:hAnsi="Arial" w:cs="Arial"/>
                <w:sz w:val="18"/>
                <w:szCs w:val="18"/>
              </w:rPr>
            </w:pPr>
            <w:r w:rsidRPr="00D968BA">
              <w:rPr>
                <w:rFonts w:ascii="Arial" w:eastAsia="Times New Roman" w:hAnsi="Arial" w:cs="Arial"/>
                <w:b/>
                <w:sz w:val="18"/>
                <w:szCs w:val="18"/>
              </w:rPr>
              <w:t>Oportunidad</w:t>
            </w:r>
            <w:r w:rsidRPr="00D968BA">
              <w:rPr>
                <w:rFonts w:ascii="Arial" w:hAnsi="Arial" w:cs="Arial"/>
                <w:sz w:val="18"/>
                <w:szCs w:val="18"/>
              </w:rPr>
              <w:t xml:space="preserve">: </w:t>
            </w:r>
            <w:r w:rsidR="00FE2565" w:rsidRPr="00D968BA">
              <w:rPr>
                <w:rFonts w:ascii="Arial" w:eastAsia="Times New Roman" w:hAnsi="Arial" w:cs="Arial"/>
                <w:sz w:val="18"/>
                <w:szCs w:val="18"/>
              </w:rPr>
              <w:t xml:space="preserve">El tiempo transcurrido desde la publicación del Decreto 57/2007, de 3 de abril, la posterior creación de la Agencia Vasca de Cooperación para el Desarrollo por medio de la Ley 5/2008, de 19 de junio, por la que se crea y regula dicha institución </w:t>
            </w:r>
            <w:r w:rsidR="00D968BA" w:rsidRPr="00D968BA">
              <w:rPr>
                <w:rFonts w:ascii="Arial" w:eastAsia="Times New Roman" w:hAnsi="Arial" w:cs="Arial"/>
                <w:sz w:val="18"/>
                <w:szCs w:val="18"/>
              </w:rPr>
              <w:t>y los problemas a los que se pretende dar soluci</w:t>
            </w:r>
            <w:r w:rsidR="00D968BA">
              <w:rPr>
                <w:rFonts w:ascii="Arial" w:eastAsia="Times New Roman" w:hAnsi="Arial" w:cs="Arial"/>
                <w:sz w:val="18"/>
                <w:szCs w:val="18"/>
              </w:rPr>
              <w:t>ón a los que s</w:t>
            </w:r>
            <w:r w:rsidR="00D968BA" w:rsidRPr="00D968BA">
              <w:rPr>
                <w:rFonts w:ascii="Arial" w:eastAsia="Times New Roman" w:hAnsi="Arial" w:cs="Arial"/>
                <w:sz w:val="18"/>
                <w:szCs w:val="18"/>
              </w:rPr>
              <w:t xml:space="preserve">e ha hecho referencia con anterioridad, </w:t>
            </w:r>
            <w:r w:rsidR="00FE2565" w:rsidRPr="00D968BA">
              <w:rPr>
                <w:rFonts w:ascii="Arial" w:eastAsia="Times New Roman" w:hAnsi="Arial" w:cs="Arial"/>
                <w:sz w:val="18"/>
                <w:szCs w:val="18"/>
              </w:rPr>
              <w:t>hacen necesaria la elaboración de una norma que regule las ayudas a programas de cooperación para el desarrollo</w:t>
            </w:r>
            <w:r w:rsidR="00D968BA" w:rsidRPr="00D968BA">
              <w:rPr>
                <w:rFonts w:ascii="Arial" w:eastAsia="Times New Roman" w:hAnsi="Arial" w:cs="Arial"/>
                <w:sz w:val="18"/>
                <w:szCs w:val="18"/>
              </w:rPr>
              <w:t>.</w:t>
            </w:r>
          </w:p>
          <w:p w14:paraId="69FF4538" w14:textId="631A717C" w:rsidR="0026781D" w:rsidRPr="00D968BA" w:rsidRDefault="0026781D" w:rsidP="0026781D">
            <w:pPr>
              <w:spacing w:before="100" w:beforeAutospacing="1" w:after="100" w:afterAutospacing="1" w:line="23" w:lineRule="atLeast"/>
              <w:jc w:val="both"/>
              <w:rPr>
                <w:rFonts w:ascii="Arial" w:eastAsia="Times New Roman" w:hAnsi="Arial" w:cs="Arial"/>
                <w:sz w:val="18"/>
                <w:szCs w:val="18"/>
              </w:rPr>
            </w:pPr>
          </w:p>
        </w:tc>
      </w:tr>
      <w:tr w:rsidR="006654B7" w14:paraId="2E9F07BF" w14:textId="77777777" w:rsidTr="0026781D">
        <w:tc>
          <w:tcPr>
            <w:tcW w:w="1843" w:type="dxa"/>
            <w:shd w:val="clear" w:color="auto" w:fill="DAEEF3" w:themeFill="accent5" w:themeFillTint="33"/>
          </w:tcPr>
          <w:p w14:paraId="463D6EA3" w14:textId="77777777" w:rsidR="006654B7" w:rsidRDefault="006654B7" w:rsidP="0026781D">
            <w:pPr>
              <w:pStyle w:val="Default"/>
              <w:spacing w:before="100" w:beforeAutospacing="1" w:after="100" w:afterAutospacing="1" w:line="23" w:lineRule="atLeast"/>
              <w:rPr>
                <w:rFonts w:ascii="Arial" w:eastAsia="Times New Roman" w:hAnsi="Arial" w:cs="Arial"/>
                <w:color w:val="auto"/>
                <w:sz w:val="22"/>
                <w:szCs w:val="22"/>
              </w:rPr>
            </w:pPr>
            <w:r w:rsidRPr="00D16E36">
              <w:rPr>
                <w:rFonts w:ascii="Arial" w:eastAsia="Times New Roman" w:hAnsi="Arial" w:cs="Arial"/>
                <w:b/>
                <w:color w:val="auto"/>
                <w:sz w:val="22"/>
                <w:szCs w:val="22"/>
              </w:rPr>
              <w:lastRenderedPageBreak/>
              <w:t>Los objetivos de la norma</w:t>
            </w:r>
          </w:p>
        </w:tc>
        <w:tc>
          <w:tcPr>
            <w:tcW w:w="6656" w:type="dxa"/>
            <w:shd w:val="clear" w:color="auto" w:fill="D6E3BC" w:themeFill="accent3" w:themeFillTint="66"/>
          </w:tcPr>
          <w:p w14:paraId="56320BE4" w14:textId="3F5CB42E" w:rsidR="009A02B5" w:rsidRPr="00AB01E1" w:rsidRDefault="006654B7" w:rsidP="0026781D">
            <w:pPr>
              <w:spacing w:before="100" w:beforeAutospacing="1" w:after="100" w:afterAutospacing="1" w:line="23" w:lineRule="atLeast"/>
              <w:jc w:val="both"/>
              <w:rPr>
                <w:rFonts w:ascii="Arial" w:eastAsia="Times New Roman" w:hAnsi="Arial" w:cs="Arial"/>
                <w:sz w:val="18"/>
                <w:szCs w:val="18"/>
              </w:rPr>
            </w:pPr>
            <w:r w:rsidRPr="00AB01E1">
              <w:rPr>
                <w:rFonts w:ascii="Arial" w:eastAsia="Times New Roman" w:hAnsi="Arial" w:cs="Arial"/>
                <w:sz w:val="18"/>
                <w:szCs w:val="18"/>
              </w:rPr>
              <w:t xml:space="preserve">El objeto de la norma que se proyecta </w:t>
            </w:r>
            <w:r w:rsidR="009A02B5" w:rsidRPr="00AB01E1">
              <w:rPr>
                <w:rFonts w:ascii="Arial" w:eastAsia="Times New Roman" w:hAnsi="Arial" w:cs="Arial"/>
                <w:sz w:val="18"/>
                <w:szCs w:val="18"/>
              </w:rPr>
              <w:t>posicionar el enfoque local-global como seña de identidad de los programas, así como a establecer un sistema de gestión que permita asegurar una inserción suficiente de dicho enfoque en las iniciativas presentadas.</w:t>
            </w:r>
          </w:p>
          <w:p w14:paraId="4081AE13" w14:textId="77777777" w:rsidR="00AB01E1" w:rsidRPr="00AB01E1" w:rsidRDefault="009A02B5" w:rsidP="0026781D">
            <w:pPr>
              <w:spacing w:before="100" w:beforeAutospacing="1" w:after="100" w:afterAutospacing="1" w:line="23" w:lineRule="atLeast"/>
              <w:jc w:val="both"/>
              <w:rPr>
                <w:rFonts w:ascii="Arial" w:eastAsia="Times New Roman" w:hAnsi="Arial" w:cs="Arial"/>
                <w:sz w:val="18"/>
                <w:szCs w:val="18"/>
              </w:rPr>
            </w:pPr>
            <w:r w:rsidRPr="00AB01E1">
              <w:rPr>
                <w:rFonts w:ascii="Arial" w:eastAsia="Times New Roman" w:hAnsi="Arial" w:cs="Arial"/>
                <w:sz w:val="18"/>
                <w:szCs w:val="18"/>
              </w:rPr>
              <w:t>Ello no implica una ruptura respecto a los fines atribuidos a los programas en la anterior regulación, sino que supone generar un avance en los elementos diferenciales y valor añadido que se les atribuyen respecto a otros instru</w:t>
            </w:r>
            <w:r w:rsidR="00AB01E1" w:rsidRPr="00AB01E1">
              <w:rPr>
                <w:rFonts w:ascii="Arial" w:eastAsia="Times New Roman" w:hAnsi="Arial" w:cs="Arial"/>
                <w:sz w:val="18"/>
                <w:szCs w:val="18"/>
              </w:rPr>
              <w:t>mentos de que dispone la AVCD.</w:t>
            </w:r>
          </w:p>
          <w:p w14:paraId="288816F7" w14:textId="0BB53BA0" w:rsidR="006654B7" w:rsidRPr="00AB01E1" w:rsidRDefault="009A02B5" w:rsidP="0026781D">
            <w:pPr>
              <w:spacing w:before="100" w:beforeAutospacing="1" w:after="100" w:afterAutospacing="1" w:line="23" w:lineRule="atLeast"/>
              <w:jc w:val="both"/>
              <w:rPr>
                <w:rFonts w:ascii="Arial" w:eastAsia="Times New Roman" w:hAnsi="Arial" w:cs="Arial"/>
                <w:sz w:val="18"/>
                <w:szCs w:val="18"/>
              </w:rPr>
            </w:pPr>
            <w:r w:rsidRPr="00AB01E1">
              <w:rPr>
                <w:rFonts w:ascii="Arial" w:eastAsia="Times New Roman" w:hAnsi="Arial" w:cs="Arial"/>
                <w:sz w:val="18"/>
                <w:szCs w:val="18"/>
              </w:rPr>
              <w:t xml:space="preserve">Por otro lado, la nueva norma elimina las principales dificultades y debilidades de gestión </w:t>
            </w:r>
            <w:r w:rsidR="00AB01E1" w:rsidRPr="00AB01E1">
              <w:rPr>
                <w:rFonts w:ascii="Arial" w:eastAsia="Times New Roman" w:hAnsi="Arial" w:cs="Arial"/>
                <w:sz w:val="18"/>
                <w:szCs w:val="18"/>
              </w:rPr>
              <w:t>del Decreto 57/2007, de 3 de abril.</w:t>
            </w:r>
          </w:p>
          <w:p w14:paraId="57D20351" w14:textId="77777777" w:rsidR="00D5793F" w:rsidRDefault="00D5793F" w:rsidP="0026781D">
            <w:pPr>
              <w:spacing w:before="100" w:beforeAutospacing="1" w:after="100" w:afterAutospacing="1" w:line="23" w:lineRule="atLeast"/>
              <w:jc w:val="both"/>
              <w:rPr>
                <w:rFonts w:ascii="Arial" w:eastAsia="Times New Roman" w:hAnsi="Arial" w:cs="Arial"/>
                <w:sz w:val="18"/>
                <w:szCs w:val="18"/>
              </w:rPr>
            </w:pPr>
            <w:r>
              <w:rPr>
                <w:rFonts w:ascii="Arial" w:eastAsia="Times New Roman" w:hAnsi="Arial" w:cs="Arial"/>
                <w:sz w:val="18"/>
                <w:szCs w:val="18"/>
              </w:rPr>
              <w:t xml:space="preserve">Cuatro son las modificaciones proyectadas: </w:t>
            </w:r>
            <w:r w:rsidRPr="00D5793F">
              <w:rPr>
                <w:rFonts w:ascii="Arial" w:eastAsia="Times New Roman" w:hAnsi="Arial" w:cs="Arial"/>
                <w:sz w:val="18"/>
                <w:szCs w:val="18"/>
              </w:rPr>
              <w:t xml:space="preserve">la orientación del instrumento hacia el enfoque local-global, el establecimiento de un modelo de trabajo entre sujetos intervinientes acorde con esa pretensión, la separación de las fases de identificación y ejecución </w:t>
            </w:r>
            <w:r>
              <w:rPr>
                <w:rFonts w:ascii="Arial" w:eastAsia="Times New Roman" w:hAnsi="Arial" w:cs="Arial"/>
                <w:sz w:val="18"/>
                <w:szCs w:val="18"/>
              </w:rPr>
              <w:t>–</w:t>
            </w:r>
            <w:r w:rsidRPr="00D5793F">
              <w:rPr>
                <w:rFonts w:ascii="Arial" w:eastAsia="Times New Roman" w:hAnsi="Arial" w:cs="Arial"/>
                <w:sz w:val="18"/>
                <w:szCs w:val="18"/>
              </w:rPr>
              <w:t>estando el acceso a la segunda condicionada por la aprobac</w:t>
            </w:r>
            <w:r>
              <w:rPr>
                <w:rFonts w:ascii="Arial" w:eastAsia="Times New Roman" w:hAnsi="Arial" w:cs="Arial"/>
                <w:sz w:val="18"/>
                <w:szCs w:val="18"/>
              </w:rPr>
              <w:t>ión de la primera-</w:t>
            </w:r>
            <w:r w:rsidRPr="00D5793F">
              <w:rPr>
                <w:rFonts w:ascii="Arial" w:eastAsia="Times New Roman" w:hAnsi="Arial" w:cs="Arial"/>
                <w:sz w:val="18"/>
                <w:szCs w:val="18"/>
              </w:rPr>
              <w:t>, y la sustitución del procedimiento de acreditación previo por un conjunto de requisitos a certificar en cada convocatoria.</w:t>
            </w:r>
          </w:p>
          <w:p w14:paraId="1563BEE5" w14:textId="19366BCB" w:rsidR="0026781D" w:rsidRPr="00AB01E1" w:rsidRDefault="0026781D" w:rsidP="0026781D">
            <w:pPr>
              <w:spacing w:before="100" w:beforeAutospacing="1" w:after="100" w:afterAutospacing="1" w:line="23" w:lineRule="atLeast"/>
              <w:jc w:val="both"/>
              <w:rPr>
                <w:rFonts w:ascii="Arial" w:eastAsia="Times New Roman" w:hAnsi="Arial" w:cs="Arial"/>
                <w:sz w:val="18"/>
                <w:szCs w:val="18"/>
              </w:rPr>
            </w:pPr>
          </w:p>
        </w:tc>
      </w:tr>
      <w:tr w:rsidR="006654B7" w14:paraId="4DEED108" w14:textId="77777777" w:rsidTr="0026781D">
        <w:tc>
          <w:tcPr>
            <w:tcW w:w="1843" w:type="dxa"/>
            <w:shd w:val="clear" w:color="auto" w:fill="DAEEF3" w:themeFill="accent5" w:themeFillTint="33"/>
          </w:tcPr>
          <w:p w14:paraId="25F8F8D7" w14:textId="77777777" w:rsidR="006654B7" w:rsidRPr="006654B7" w:rsidRDefault="006654B7" w:rsidP="0026781D">
            <w:pPr>
              <w:pStyle w:val="Default"/>
              <w:spacing w:before="100" w:beforeAutospacing="1" w:after="100" w:afterAutospacing="1" w:line="23" w:lineRule="atLeast"/>
              <w:rPr>
                <w:rFonts w:ascii="Arial" w:eastAsia="Times New Roman" w:hAnsi="Arial" w:cs="Arial"/>
                <w:b/>
                <w:color w:val="auto"/>
                <w:sz w:val="22"/>
                <w:szCs w:val="22"/>
              </w:rPr>
            </w:pPr>
            <w:r w:rsidRPr="006654B7">
              <w:rPr>
                <w:rFonts w:ascii="Arial" w:eastAsia="Times New Roman" w:hAnsi="Arial" w:cs="Arial"/>
                <w:b/>
                <w:color w:val="auto"/>
                <w:sz w:val="22"/>
                <w:szCs w:val="22"/>
              </w:rPr>
              <w:t>Las posibles soluciones alternativas regulatorias y no regulatorias</w:t>
            </w:r>
          </w:p>
        </w:tc>
        <w:tc>
          <w:tcPr>
            <w:tcW w:w="6656" w:type="dxa"/>
            <w:shd w:val="clear" w:color="auto" w:fill="D6E3BC" w:themeFill="accent3" w:themeFillTint="66"/>
          </w:tcPr>
          <w:p w14:paraId="5B6F0A66" w14:textId="475E5B2E" w:rsidR="00D5793F" w:rsidRPr="00AB01E1" w:rsidRDefault="006654B7" w:rsidP="0026781D">
            <w:pPr>
              <w:pStyle w:val="Default"/>
              <w:spacing w:before="100" w:beforeAutospacing="1" w:after="100" w:afterAutospacing="1" w:line="23" w:lineRule="atLeast"/>
              <w:rPr>
                <w:rFonts w:ascii="Arial" w:eastAsia="Times New Roman" w:hAnsi="Arial" w:cs="Arial"/>
                <w:color w:val="auto"/>
                <w:sz w:val="18"/>
                <w:szCs w:val="18"/>
              </w:rPr>
            </w:pPr>
            <w:r w:rsidRPr="00AB01E1">
              <w:rPr>
                <w:rFonts w:ascii="Arial" w:eastAsia="Times New Roman" w:hAnsi="Arial" w:cs="Arial"/>
                <w:color w:val="auto"/>
                <w:sz w:val="18"/>
                <w:szCs w:val="18"/>
              </w:rPr>
              <w:t>En tal contexto, la elaboración de una medida específica de carácter normativo se presenta como inexcusable, sin que puedan contemplarse otras soluciones alternativas.</w:t>
            </w:r>
          </w:p>
        </w:tc>
      </w:tr>
    </w:tbl>
    <w:p w14:paraId="1A652D44" w14:textId="77777777" w:rsidR="006779F4" w:rsidRPr="00372081" w:rsidRDefault="006779F4" w:rsidP="006F435B">
      <w:pPr>
        <w:pStyle w:val="Default"/>
        <w:spacing w:before="100" w:beforeAutospacing="1" w:after="100" w:afterAutospacing="1" w:line="23" w:lineRule="atLeast"/>
        <w:rPr>
          <w:rFonts w:ascii="Arial" w:eastAsia="Times New Roman" w:hAnsi="Arial" w:cs="Arial"/>
          <w:b/>
          <w:color w:val="auto"/>
          <w:sz w:val="22"/>
          <w:szCs w:val="22"/>
        </w:rPr>
      </w:pPr>
      <w:bookmarkStart w:id="0" w:name="_GoBack"/>
      <w:bookmarkEnd w:id="0"/>
    </w:p>
    <w:sectPr w:rsidR="006779F4" w:rsidRPr="00372081" w:rsidSect="0026781D">
      <w:headerReference w:type="default" r:id="rId7"/>
      <w:footerReference w:type="default" r:id="rId8"/>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D5BAB" w14:textId="77777777" w:rsidR="001650A5" w:rsidRDefault="001650A5" w:rsidP="0080292C">
      <w:pPr>
        <w:spacing w:after="0" w:line="240" w:lineRule="auto"/>
      </w:pPr>
      <w:r>
        <w:separator/>
      </w:r>
    </w:p>
  </w:endnote>
  <w:endnote w:type="continuationSeparator" w:id="0">
    <w:p w14:paraId="7DE9DBE5" w14:textId="77777777" w:rsidR="001650A5" w:rsidRDefault="001650A5"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424913"/>
      <w:docPartObj>
        <w:docPartGallery w:val="Page Numbers (Bottom of Page)"/>
        <w:docPartUnique/>
      </w:docPartObj>
    </w:sdtPr>
    <w:sdtEndPr/>
    <w:sdtContent>
      <w:p w14:paraId="493E9DBA" w14:textId="46DB7B07" w:rsidR="00826CA1" w:rsidRDefault="00826CA1">
        <w:pPr>
          <w:pStyle w:val="Orri-oina"/>
          <w:jc w:val="right"/>
        </w:pPr>
        <w:r>
          <w:fldChar w:fldCharType="begin"/>
        </w:r>
        <w:r>
          <w:instrText>PAGE   \* MERGEFORMAT</w:instrText>
        </w:r>
        <w:r>
          <w:fldChar w:fldCharType="separate"/>
        </w:r>
        <w:r w:rsidR="006F435B">
          <w:rPr>
            <w:noProof/>
          </w:rPr>
          <w:t>2</w:t>
        </w:r>
        <w:r>
          <w:fldChar w:fldCharType="end"/>
        </w:r>
      </w:p>
    </w:sdtContent>
  </w:sdt>
  <w:p w14:paraId="0235CFE7" w14:textId="77777777" w:rsidR="00826CA1" w:rsidRDefault="00826CA1">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B4D9D" w14:textId="77777777" w:rsidR="001650A5" w:rsidRDefault="001650A5" w:rsidP="0080292C">
      <w:pPr>
        <w:spacing w:after="0" w:line="240" w:lineRule="auto"/>
      </w:pPr>
      <w:r>
        <w:separator/>
      </w:r>
    </w:p>
  </w:footnote>
  <w:footnote w:type="continuationSeparator" w:id="0">
    <w:p w14:paraId="74DD0BE7" w14:textId="77777777" w:rsidR="001650A5" w:rsidRDefault="001650A5" w:rsidP="0080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BA0E5" w14:textId="77777777" w:rsidR="0026781D" w:rsidRDefault="0026781D" w:rsidP="0026781D">
    <w:pPr>
      <w:pStyle w:val="Goiburua"/>
      <w:jc w:val="center"/>
    </w:pPr>
    <w:r>
      <w:object w:dxaOrig="11549" w:dyaOrig="1410" w14:anchorId="3C22E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ed="t">
          <v:fill color2="black"/>
          <v:imagedata r:id="rId1" o:title=""/>
        </v:shape>
        <o:OLEObject Type="Embed" ProgID="Imagen" ShapeID="_x0000_i1025" DrawAspect="Content" ObjectID="_1657356519" r:id="rId2"/>
      </w:object>
    </w:r>
  </w:p>
  <w:p w14:paraId="52B17F4D" w14:textId="77777777" w:rsidR="00310CFB" w:rsidRDefault="00310CFB" w:rsidP="00310CFB">
    <w:pPr>
      <w:pStyle w:val="Goiburu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B7A2" w14:textId="77777777" w:rsidR="0026781D" w:rsidRDefault="0026781D" w:rsidP="0026781D">
    <w:pPr>
      <w:pStyle w:val="Goiburua"/>
      <w:jc w:val="center"/>
    </w:pPr>
    <w:r w:rsidRPr="00310CFB">
      <w:rPr>
        <w:rFonts w:ascii="Arial" w:hAnsi="Arial"/>
        <w:noProof/>
        <w:sz w:val="16"/>
        <w:lang w:val="eu-ES" w:eastAsia="eu-ES"/>
      </w:rPr>
      <w:drawing>
        <wp:inline distT="0" distB="0" distL="0" distR="0" wp14:anchorId="4A7E9A57" wp14:editId="75F3E94C">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0C365E44" w14:textId="77777777" w:rsidR="0026781D" w:rsidRDefault="0026781D">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2E2105"/>
    <w:multiLevelType w:val="hybridMultilevel"/>
    <w:tmpl w:val="04162C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F4"/>
    <w:rsid w:val="00013ECC"/>
    <w:rsid w:val="000142ED"/>
    <w:rsid w:val="000227B5"/>
    <w:rsid w:val="00031993"/>
    <w:rsid w:val="00037930"/>
    <w:rsid w:val="00053AE8"/>
    <w:rsid w:val="00064C0E"/>
    <w:rsid w:val="00071937"/>
    <w:rsid w:val="00081E9B"/>
    <w:rsid w:val="000836C1"/>
    <w:rsid w:val="0008713E"/>
    <w:rsid w:val="000909B6"/>
    <w:rsid w:val="000940B9"/>
    <w:rsid w:val="000A24B6"/>
    <w:rsid w:val="000B7A1A"/>
    <w:rsid w:val="000C4D19"/>
    <w:rsid w:val="000D120C"/>
    <w:rsid w:val="000D68BA"/>
    <w:rsid w:val="000F5F30"/>
    <w:rsid w:val="00100DD6"/>
    <w:rsid w:val="00103799"/>
    <w:rsid w:val="00115E4A"/>
    <w:rsid w:val="0012092F"/>
    <w:rsid w:val="001278BF"/>
    <w:rsid w:val="00134028"/>
    <w:rsid w:val="001417DE"/>
    <w:rsid w:val="001639C4"/>
    <w:rsid w:val="001650A5"/>
    <w:rsid w:val="00170392"/>
    <w:rsid w:val="00173E41"/>
    <w:rsid w:val="00194C10"/>
    <w:rsid w:val="001B226C"/>
    <w:rsid w:val="001B3A1D"/>
    <w:rsid w:val="001B6414"/>
    <w:rsid w:val="001C5B58"/>
    <w:rsid w:val="001F5C15"/>
    <w:rsid w:val="001F7723"/>
    <w:rsid w:val="002050C5"/>
    <w:rsid w:val="00207EDF"/>
    <w:rsid w:val="00226A44"/>
    <w:rsid w:val="00237C97"/>
    <w:rsid w:val="0026228C"/>
    <w:rsid w:val="0026764F"/>
    <w:rsid w:val="0026781D"/>
    <w:rsid w:val="002A0B87"/>
    <w:rsid w:val="002A1248"/>
    <w:rsid w:val="002B7CD5"/>
    <w:rsid w:val="002C632D"/>
    <w:rsid w:val="002D2675"/>
    <w:rsid w:val="00310CFB"/>
    <w:rsid w:val="00351A1E"/>
    <w:rsid w:val="00372081"/>
    <w:rsid w:val="003E4076"/>
    <w:rsid w:val="00402102"/>
    <w:rsid w:val="004049AF"/>
    <w:rsid w:val="00405B9E"/>
    <w:rsid w:val="00425975"/>
    <w:rsid w:val="004266C7"/>
    <w:rsid w:val="00432603"/>
    <w:rsid w:val="004B5349"/>
    <w:rsid w:val="004C36DB"/>
    <w:rsid w:val="004E0B46"/>
    <w:rsid w:val="004F079B"/>
    <w:rsid w:val="00501216"/>
    <w:rsid w:val="00513E23"/>
    <w:rsid w:val="00541F4A"/>
    <w:rsid w:val="00545E5B"/>
    <w:rsid w:val="00547545"/>
    <w:rsid w:val="00565C0D"/>
    <w:rsid w:val="0058482E"/>
    <w:rsid w:val="0059124D"/>
    <w:rsid w:val="005913F4"/>
    <w:rsid w:val="005B5275"/>
    <w:rsid w:val="005E4F35"/>
    <w:rsid w:val="005F172F"/>
    <w:rsid w:val="006156B7"/>
    <w:rsid w:val="00632CD2"/>
    <w:rsid w:val="006654B7"/>
    <w:rsid w:val="00675414"/>
    <w:rsid w:val="00677419"/>
    <w:rsid w:val="006779F4"/>
    <w:rsid w:val="00690D14"/>
    <w:rsid w:val="006B5E8E"/>
    <w:rsid w:val="006C0B59"/>
    <w:rsid w:val="006D47F0"/>
    <w:rsid w:val="006F435B"/>
    <w:rsid w:val="00725C35"/>
    <w:rsid w:val="007334EC"/>
    <w:rsid w:val="00755D6E"/>
    <w:rsid w:val="00757FF2"/>
    <w:rsid w:val="00791485"/>
    <w:rsid w:val="007D4228"/>
    <w:rsid w:val="007D4664"/>
    <w:rsid w:val="0080292C"/>
    <w:rsid w:val="00826CA1"/>
    <w:rsid w:val="00831DC8"/>
    <w:rsid w:val="00842276"/>
    <w:rsid w:val="00855AD0"/>
    <w:rsid w:val="00865035"/>
    <w:rsid w:val="00873F0D"/>
    <w:rsid w:val="00876954"/>
    <w:rsid w:val="008C1F61"/>
    <w:rsid w:val="008D6281"/>
    <w:rsid w:val="0092251C"/>
    <w:rsid w:val="009353B8"/>
    <w:rsid w:val="009362EC"/>
    <w:rsid w:val="00941016"/>
    <w:rsid w:val="009446AB"/>
    <w:rsid w:val="00946020"/>
    <w:rsid w:val="009A02B5"/>
    <w:rsid w:val="009A679B"/>
    <w:rsid w:val="009B5735"/>
    <w:rsid w:val="009C124C"/>
    <w:rsid w:val="00A14689"/>
    <w:rsid w:val="00A230EE"/>
    <w:rsid w:val="00A36EC7"/>
    <w:rsid w:val="00A47F79"/>
    <w:rsid w:val="00A5515D"/>
    <w:rsid w:val="00A5751E"/>
    <w:rsid w:val="00A674CB"/>
    <w:rsid w:val="00A8594C"/>
    <w:rsid w:val="00A906F1"/>
    <w:rsid w:val="00A91FF9"/>
    <w:rsid w:val="00AA1AB7"/>
    <w:rsid w:val="00AB01E1"/>
    <w:rsid w:val="00AC21E4"/>
    <w:rsid w:val="00AD4A44"/>
    <w:rsid w:val="00AE6383"/>
    <w:rsid w:val="00AF251A"/>
    <w:rsid w:val="00B235F6"/>
    <w:rsid w:val="00B60F48"/>
    <w:rsid w:val="00B76F88"/>
    <w:rsid w:val="00B77EDC"/>
    <w:rsid w:val="00B84289"/>
    <w:rsid w:val="00B959A0"/>
    <w:rsid w:val="00BA7FC9"/>
    <w:rsid w:val="00BE5FD7"/>
    <w:rsid w:val="00BF4EA9"/>
    <w:rsid w:val="00C01BE6"/>
    <w:rsid w:val="00C122FE"/>
    <w:rsid w:val="00C17C1E"/>
    <w:rsid w:val="00C22598"/>
    <w:rsid w:val="00C45CCF"/>
    <w:rsid w:val="00C57B4B"/>
    <w:rsid w:val="00CB298C"/>
    <w:rsid w:val="00CB5805"/>
    <w:rsid w:val="00CC55B0"/>
    <w:rsid w:val="00CD5345"/>
    <w:rsid w:val="00CF46DE"/>
    <w:rsid w:val="00D0392F"/>
    <w:rsid w:val="00D16E36"/>
    <w:rsid w:val="00D17586"/>
    <w:rsid w:val="00D30919"/>
    <w:rsid w:val="00D34B09"/>
    <w:rsid w:val="00D36016"/>
    <w:rsid w:val="00D47D46"/>
    <w:rsid w:val="00D5793F"/>
    <w:rsid w:val="00D64134"/>
    <w:rsid w:val="00D763A7"/>
    <w:rsid w:val="00D928C5"/>
    <w:rsid w:val="00D968BA"/>
    <w:rsid w:val="00DA3495"/>
    <w:rsid w:val="00DA72A6"/>
    <w:rsid w:val="00DB4519"/>
    <w:rsid w:val="00E06623"/>
    <w:rsid w:val="00E22692"/>
    <w:rsid w:val="00E22B43"/>
    <w:rsid w:val="00E35CE2"/>
    <w:rsid w:val="00E4378F"/>
    <w:rsid w:val="00E43B09"/>
    <w:rsid w:val="00ED4BAC"/>
    <w:rsid w:val="00F0152F"/>
    <w:rsid w:val="00F109C3"/>
    <w:rsid w:val="00F24A3C"/>
    <w:rsid w:val="00F51DA6"/>
    <w:rsid w:val="00F56DD4"/>
    <w:rsid w:val="00F7522A"/>
    <w:rsid w:val="00F87B7C"/>
    <w:rsid w:val="00F947E8"/>
    <w:rsid w:val="00FE2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CB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esteka">
    <w:name w:val="Hyperlink"/>
    <w:basedOn w:val="Paragrafoarenletra-tipolehenetsia"/>
    <w:uiPriority w:val="99"/>
    <w:unhideWhenUsed/>
    <w:rsid w:val="00237C97"/>
    <w:rPr>
      <w:color w:val="0000FF" w:themeColor="hyperlink"/>
      <w:u w:val="single"/>
    </w:rPr>
  </w:style>
  <w:style w:type="paragraph" w:styleId="Zerrenda-paragrafoa">
    <w:name w:val="List Paragraph"/>
    <w:basedOn w:val="Normala"/>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Gorputz-testua">
    <w:name w:val="Body Text"/>
    <w:basedOn w:val="Normala"/>
    <w:link w:val="Gorputz-testuaKar"/>
    <w:uiPriority w:val="1"/>
    <w:qFormat/>
    <w:rsid w:val="000B7A1A"/>
    <w:pPr>
      <w:widowControl w:val="0"/>
      <w:spacing w:after="0" w:line="240" w:lineRule="auto"/>
      <w:ind w:left="141"/>
    </w:pPr>
    <w:rPr>
      <w:rFonts w:ascii="Arial" w:eastAsia="Arial" w:hAnsi="Arial"/>
      <w:lang w:val="en-US"/>
    </w:rPr>
  </w:style>
  <w:style w:type="character" w:customStyle="1" w:styleId="Gorputz-testuaKar">
    <w:name w:val="Gorputz-testua Kar"/>
    <w:basedOn w:val="Paragrafoarenletra-tipolehenetsia"/>
    <w:link w:val="Gorputz-testua"/>
    <w:uiPriority w:val="1"/>
    <w:rsid w:val="000B7A1A"/>
    <w:rPr>
      <w:rFonts w:ascii="Arial" w:eastAsia="Arial" w:hAnsi="Arial"/>
      <w:lang w:val="en-US"/>
    </w:rPr>
  </w:style>
  <w:style w:type="paragraph" w:styleId="Goiburua">
    <w:name w:val="header"/>
    <w:basedOn w:val="Normala"/>
    <w:link w:val="GoiburuaKar"/>
    <w:uiPriority w:val="99"/>
    <w:unhideWhenUsed/>
    <w:rsid w:val="0080292C"/>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80292C"/>
  </w:style>
  <w:style w:type="paragraph" w:styleId="Orri-oina">
    <w:name w:val="footer"/>
    <w:basedOn w:val="Normala"/>
    <w:link w:val="Orri-oinaKar"/>
    <w:uiPriority w:val="99"/>
    <w:unhideWhenUsed/>
    <w:rsid w:val="0080292C"/>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80292C"/>
  </w:style>
  <w:style w:type="paragraph" w:styleId="Bunbuiloarentestua">
    <w:name w:val="Balloon Text"/>
    <w:basedOn w:val="Normala"/>
    <w:link w:val="BunbuiloarentestuaKar"/>
    <w:uiPriority w:val="99"/>
    <w:semiHidden/>
    <w:unhideWhenUsed/>
    <w:rsid w:val="001B3A1D"/>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1B3A1D"/>
    <w:rPr>
      <w:rFonts w:ascii="Tahoma" w:hAnsi="Tahoma" w:cs="Tahoma"/>
      <w:sz w:val="16"/>
      <w:szCs w:val="16"/>
    </w:rPr>
  </w:style>
  <w:style w:type="table" w:styleId="Saretaduntaula">
    <w:name w:val="Table Grid"/>
    <w:basedOn w:val="Taulanormala"/>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ambria">
    <w:name w:val="Estilo Cambria"/>
    <w:rsid w:val="009A02B5"/>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7340</Characters>
  <Application>Microsoft Office Word</Application>
  <DocSecurity>0</DocSecurity>
  <Lines>61</Lines>
  <Paragraphs>17</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2020-07-27T06:27:00Z</dcterms:created>
  <dcterms:modified xsi:type="dcterms:W3CDTF">2020-07-27T10:02:00Z</dcterms:modified>
</cp:coreProperties>
</file>